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41F2">
      <w:pPr>
        <w:spacing w:line="600" w:lineRule="exact"/>
        <w:jc w:val="center"/>
        <w:rPr>
          <w:rFonts w:hint="eastAsia" w:ascii="方正小标宋简体" w:hAnsi="华文细黑" w:eastAsia="方正小标宋简体"/>
          <w:bCs/>
          <w:color w:val="000000" w:themeColor="text1"/>
          <w:sz w:val="72"/>
          <w:szCs w:val="72"/>
          <w:highlight w:val="none"/>
          <w14:textFill>
            <w14:solidFill>
              <w14:schemeClr w14:val="tx1"/>
            </w14:solidFill>
          </w14:textFill>
        </w:rPr>
      </w:pPr>
    </w:p>
    <w:p w14:paraId="4005B7A2">
      <w:pPr>
        <w:spacing w:line="600" w:lineRule="exact"/>
        <w:jc w:val="center"/>
        <w:rPr>
          <w:rFonts w:hint="eastAsia" w:ascii="方正小标宋简体" w:hAnsi="华文细黑" w:eastAsia="方正小标宋简体"/>
          <w:bCs/>
          <w:color w:val="000000" w:themeColor="text1"/>
          <w:sz w:val="72"/>
          <w:szCs w:val="72"/>
          <w:highlight w:val="none"/>
          <w14:textFill>
            <w14:solidFill>
              <w14:schemeClr w14:val="tx1"/>
            </w14:solidFill>
          </w14:textFill>
        </w:rPr>
      </w:pPr>
    </w:p>
    <w:p w14:paraId="2EB70D83">
      <w:pPr>
        <w:spacing w:line="1000" w:lineRule="exact"/>
        <w:jc w:val="center"/>
        <w:rPr>
          <w:rFonts w:ascii="黑体" w:hAnsi="黑体" w:eastAsia="黑体"/>
          <w:bCs/>
          <w:color w:val="000000" w:themeColor="text1"/>
          <w:sz w:val="72"/>
          <w:szCs w:val="72"/>
          <w:highlight w:val="none"/>
          <w14:textFill>
            <w14:solidFill>
              <w14:schemeClr w14:val="tx1"/>
            </w14:solidFill>
          </w14:textFill>
        </w:rPr>
      </w:pPr>
      <w:r>
        <w:rPr>
          <w:rFonts w:hint="eastAsia" w:ascii="黑体" w:hAnsi="黑体" w:eastAsia="黑体"/>
          <w:bCs/>
          <w:color w:val="000000" w:themeColor="text1"/>
          <w:sz w:val="72"/>
          <w:szCs w:val="72"/>
          <w:highlight w:val="none"/>
          <w14:textFill>
            <w14:solidFill>
              <w14:schemeClr w14:val="tx1"/>
            </w14:solidFill>
          </w14:textFill>
        </w:rPr>
        <w:t>租</w:t>
      </w:r>
    </w:p>
    <w:p w14:paraId="48475F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bCs/>
          <w:color w:val="000000" w:themeColor="text1"/>
          <w:sz w:val="72"/>
          <w:szCs w:val="72"/>
          <w:highlight w:val="none"/>
          <w14:textFill>
            <w14:solidFill>
              <w14:schemeClr w14:val="tx1"/>
            </w14:solidFill>
          </w14:textFill>
        </w:rPr>
      </w:pPr>
    </w:p>
    <w:p w14:paraId="4FE3DB8E">
      <w:pPr>
        <w:spacing w:line="1000" w:lineRule="exact"/>
        <w:jc w:val="center"/>
        <w:rPr>
          <w:rFonts w:ascii="黑体" w:hAnsi="黑体" w:eastAsia="黑体"/>
          <w:bCs/>
          <w:color w:val="000000" w:themeColor="text1"/>
          <w:sz w:val="72"/>
          <w:szCs w:val="72"/>
          <w:highlight w:val="none"/>
          <w14:textFill>
            <w14:solidFill>
              <w14:schemeClr w14:val="tx1"/>
            </w14:solidFill>
          </w14:textFill>
        </w:rPr>
      </w:pPr>
      <w:r>
        <w:rPr>
          <w:rFonts w:hint="eastAsia" w:ascii="黑体" w:hAnsi="黑体" w:eastAsia="黑体"/>
          <w:bCs/>
          <w:color w:val="000000" w:themeColor="text1"/>
          <w:sz w:val="72"/>
          <w:szCs w:val="72"/>
          <w:highlight w:val="none"/>
          <w14:textFill>
            <w14:solidFill>
              <w14:schemeClr w14:val="tx1"/>
            </w14:solidFill>
          </w14:textFill>
        </w:rPr>
        <w:t>赁</w:t>
      </w:r>
    </w:p>
    <w:p w14:paraId="2C12B3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黑体" w:hAnsi="黑体" w:eastAsia="黑体"/>
          <w:bCs/>
          <w:color w:val="000000" w:themeColor="text1"/>
          <w:sz w:val="72"/>
          <w:szCs w:val="72"/>
          <w:highlight w:val="none"/>
          <w:lang w:val="en-US" w:eastAsia="zh-CN"/>
          <w14:textFill>
            <w14:solidFill>
              <w14:schemeClr w14:val="tx1"/>
            </w14:solidFill>
          </w14:textFill>
        </w:rPr>
      </w:pPr>
    </w:p>
    <w:p w14:paraId="17900B66">
      <w:pPr>
        <w:spacing w:line="1000" w:lineRule="exact"/>
        <w:jc w:val="center"/>
        <w:rPr>
          <w:rFonts w:hint="eastAsia" w:ascii="黑体" w:hAnsi="黑体" w:eastAsia="黑体"/>
          <w:bCs/>
          <w:color w:val="000000" w:themeColor="text1"/>
          <w:sz w:val="72"/>
          <w:szCs w:val="72"/>
          <w:highlight w:val="none"/>
          <w:lang w:val="en-US" w:eastAsia="zh-CN"/>
          <w14:textFill>
            <w14:solidFill>
              <w14:schemeClr w14:val="tx1"/>
            </w14:solidFill>
          </w14:textFill>
        </w:rPr>
      </w:pPr>
      <w:r>
        <w:rPr>
          <w:rFonts w:hint="eastAsia" w:ascii="黑体" w:hAnsi="黑体" w:eastAsia="黑体"/>
          <w:bCs/>
          <w:color w:val="000000" w:themeColor="text1"/>
          <w:sz w:val="72"/>
          <w:szCs w:val="72"/>
          <w:highlight w:val="none"/>
          <w:lang w:val="en-US" w:eastAsia="zh-CN"/>
          <w14:textFill>
            <w14:solidFill>
              <w14:schemeClr w14:val="tx1"/>
            </w14:solidFill>
          </w14:textFill>
        </w:rPr>
        <w:t>合</w:t>
      </w:r>
    </w:p>
    <w:p w14:paraId="784F58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bCs/>
          <w:color w:val="000000" w:themeColor="text1"/>
          <w:sz w:val="72"/>
          <w:szCs w:val="72"/>
          <w:highlight w:val="none"/>
          <w:lang w:val="en-US" w:eastAsia="zh-CN"/>
          <w14:textFill>
            <w14:solidFill>
              <w14:schemeClr w14:val="tx1"/>
            </w14:solidFill>
          </w14:textFill>
        </w:rPr>
      </w:pPr>
    </w:p>
    <w:p w14:paraId="21B29237">
      <w:pPr>
        <w:spacing w:line="1000" w:lineRule="exact"/>
        <w:jc w:val="center"/>
        <w:rPr>
          <w:rFonts w:hint="default" w:ascii="黑体" w:hAnsi="黑体" w:eastAsia="黑体"/>
          <w:bCs/>
          <w:color w:val="000000" w:themeColor="text1"/>
          <w:sz w:val="72"/>
          <w:szCs w:val="72"/>
          <w:highlight w:val="none"/>
          <w:lang w:val="en-US" w:eastAsia="zh-CN"/>
          <w14:textFill>
            <w14:solidFill>
              <w14:schemeClr w14:val="tx1"/>
            </w14:solidFill>
          </w14:textFill>
        </w:rPr>
      </w:pPr>
      <w:r>
        <w:rPr>
          <w:rFonts w:hint="eastAsia" w:ascii="黑体" w:hAnsi="黑体" w:eastAsia="黑体"/>
          <w:bCs/>
          <w:color w:val="000000" w:themeColor="text1"/>
          <w:sz w:val="72"/>
          <w:szCs w:val="72"/>
          <w:highlight w:val="none"/>
          <w:lang w:val="en-US" w:eastAsia="zh-CN"/>
          <w14:textFill>
            <w14:solidFill>
              <w14:schemeClr w14:val="tx1"/>
            </w14:solidFill>
          </w14:textFill>
        </w:rPr>
        <w:t>同</w:t>
      </w:r>
    </w:p>
    <w:p w14:paraId="1158D7BB">
      <w:pPr>
        <w:tabs>
          <w:tab w:val="left" w:pos="2220"/>
          <w:tab w:val="left" w:pos="2265"/>
        </w:tabs>
        <w:spacing w:line="600" w:lineRule="exact"/>
        <w:rPr>
          <w:rFonts w:ascii="微软雅黑" w:hAnsi="微软雅黑" w:eastAsia="微软雅黑"/>
          <w:color w:val="000000" w:themeColor="text1"/>
          <w:szCs w:val="21"/>
          <w:highlight w:val="none"/>
          <w14:textFill>
            <w14:solidFill>
              <w14:schemeClr w14:val="tx1"/>
            </w14:solidFill>
          </w14:textFill>
        </w:rPr>
      </w:pPr>
    </w:p>
    <w:p w14:paraId="1B58690F">
      <w:pPr>
        <w:tabs>
          <w:tab w:val="left" w:pos="2220"/>
          <w:tab w:val="left" w:pos="2265"/>
        </w:tabs>
        <w:spacing w:line="600" w:lineRule="exact"/>
        <w:ind w:firstLine="1995" w:firstLineChars="950"/>
        <w:rPr>
          <w:rFonts w:ascii="微软雅黑" w:hAnsi="微软雅黑" w:eastAsia="微软雅黑"/>
          <w:color w:val="000000" w:themeColor="text1"/>
          <w:szCs w:val="21"/>
          <w:highlight w:val="none"/>
          <w14:textFill>
            <w14:solidFill>
              <w14:schemeClr w14:val="tx1"/>
            </w14:solidFill>
          </w14:textFill>
        </w:rPr>
      </w:pPr>
    </w:p>
    <w:p w14:paraId="2DE4856F">
      <w:pPr>
        <w:spacing w:line="600" w:lineRule="exact"/>
        <w:ind w:firstLine="1440" w:firstLineChars="600"/>
        <w:rPr>
          <w:rFonts w:hint="eastAsia" w:ascii="仿宋_GB2312" w:hAnsi="宋体" w:eastAsia="仿宋_GB2312"/>
          <w:color w:val="000000" w:themeColor="text1"/>
          <w:sz w:val="24"/>
          <w:highlight w:val="none"/>
          <w:u w:val="none"/>
          <w14:textFill>
            <w14:solidFill>
              <w14:schemeClr w14:val="tx1"/>
            </w14:solidFill>
          </w14:textFill>
        </w:rPr>
      </w:pPr>
    </w:p>
    <w:p w14:paraId="0033653F">
      <w:pPr>
        <w:spacing w:line="600" w:lineRule="exact"/>
        <w:ind w:firstLine="1440" w:firstLineChars="600"/>
        <w:rPr>
          <w:rFonts w:hint="eastAsia" w:ascii="仿宋_GB2312" w:hAnsi="宋体" w:eastAsia="仿宋_GB2312"/>
          <w:color w:val="000000" w:themeColor="text1"/>
          <w:sz w:val="24"/>
          <w:highlight w:val="none"/>
          <w:u w:val="none"/>
          <w14:textFill>
            <w14:solidFill>
              <w14:schemeClr w14:val="tx1"/>
            </w14:solidFill>
          </w14:textFill>
        </w:rPr>
      </w:pPr>
    </w:p>
    <w:p w14:paraId="30988C47">
      <w:pPr>
        <w:spacing w:line="600" w:lineRule="exact"/>
        <w:ind w:firstLine="960" w:firstLineChars="300"/>
        <w:rPr>
          <w:rFonts w:hint="eastAsia" w:ascii="仿宋_GB2312" w:hAnsi="宋体" w:eastAsia="仿宋_GB2312"/>
          <w:color w:val="000000" w:themeColor="text1"/>
          <w:sz w:val="32"/>
          <w:szCs w:val="32"/>
          <w:highlight w:val="none"/>
          <w:u w:val="singl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合同编号：</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p>
    <w:p w14:paraId="499D0C45">
      <w:pPr>
        <w:spacing w:line="600" w:lineRule="exact"/>
        <w:ind w:firstLine="0" w:firstLineChars="0"/>
        <w:rPr>
          <w:rFonts w:hint="eastAsia" w:ascii="仿宋_GB2312" w:hAnsi="宋体" w:eastAsia="仿宋_GB2312"/>
          <w:color w:val="000000" w:themeColor="text1"/>
          <w:sz w:val="32"/>
          <w:szCs w:val="32"/>
          <w:highlight w:val="none"/>
          <w:u w:val="none"/>
          <w:lang w:val="en-US" w:eastAsia="zh-CN"/>
          <w14:textFill>
            <w14:solidFill>
              <w14:schemeClr w14:val="tx1"/>
            </w14:solidFill>
          </w14:textFill>
        </w:rPr>
      </w:pPr>
    </w:p>
    <w:p w14:paraId="1E8F0F99">
      <w:pPr>
        <w:spacing w:line="600" w:lineRule="exact"/>
        <w:ind w:firstLine="960" w:firstLineChars="300"/>
        <w:rPr>
          <w:rFonts w:hint="default" w:ascii="仿宋_GB2312" w:hAnsi="宋体" w:eastAsia="仿宋_GB2312"/>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u w:val="none"/>
          <w:lang w:val="en-US" w:eastAsia="zh-CN"/>
          <w14:textFill>
            <w14:solidFill>
              <w14:schemeClr w14:val="tx1"/>
            </w14:solidFill>
          </w14:textFill>
        </w:rPr>
        <w:t>资产地址：</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p>
    <w:p w14:paraId="05450F08">
      <w:pPr>
        <w:spacing w:line="600" w:lineRule="exact"/>
        <w:ind w:firstLine="960" w:firstLineChars="300"/>
        <w:rPr>
          <w:rFonts w:hint="eastAsia" w:ascii="仿宋_GB2312" w:hAnsi="宋体" w:eastAsia="仿宋_GB2312"/>
          <w:color w:val="000000" w:themeColor="text1"/>
          <w:sz w:val="32"/>
          <w:szCs w:val="32"/>
          <w:highlight w:val="none"/>
          <w:u w:val="none"/>
          <w:lang w:val="en-US" w:eastAsia="zh-CN"/>
          <w14:textFill>
            <w14:solidFill>
              <w14:schemeClr w14:val="tx1"/>
            </w14:solidFill>
          </w14:textFill>
        </w:rPr>
      </w:pPr>
    </w:p>
    <w:p w14:paraId="2FEEC1D5">
      <w:pPr>
        <w:spacing w:line="600" w:lineRule="exact"/>
        <w:ind w:firstLine="960" w:firstLineChars="300"/>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u w:val="none"/>
          <w:lang w:val="en-US" w:eastAsia="zh-CN"/>
          <w14:textFill>
            <w14:solidFill>
              <w14:schemeClr w14:val="tx1"/>
            </w14:solidFill>
          </w14:textFill>
        </w:rPr>
        <w:t>承 租 方</w:t>
      </w:r>
      <w:r>
        <w:rPr>
          <w:rFonts w:hint="eastAsia" w:ascii="仿宋_GB2312" w:hAnsi="宋体" w:eastAsia="仿宋_GB2312"/>
          <w:color w:val="000000" w:themeColor="text1"/>
          <w:sz w:val="32"/>
          <w:szCs w:val="32"/>
          <w:highlight w:val="none"/>
          <w:u w:val="none"/>
          <w14:textFill>
            <w14:solidFill>
              <w14:schemeClr w14:val="tx1"/>
            </w14:solidFill>
          </w14:textFill>
        </w:rPr>
        <w:t>：</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p>
    <w:p w14:paraId="7BD680C1">
      <w:pPr>
        <w:spacing w:line="600" w:lineRule="exact"/>
        <w:ind w:firstLine="0" w:firstLineChars="0"/>
        <w:rPr>
          <w:rFonts w:hint="default" w:ascii="仿宋_GB2312" w:hAnsi="宋体" w:eastAsia="仿宋_GB2312"/>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u w:val="none"/>
          <w:lang w:val="en-US" w:eastAsia="zh-CN"/>
          <w14:textFill>
            <w14:solidFill>
              <w14:schemeClr w14:val="tx1"/>
            </w14:solidFill>
          </w14:textFill>
        </w:rPr>
        <w:t xml:space="preserve"> </w:t>
      </w:r>
    </w:p>
    <w:p w14:paraId="7E5F1A13">
      <w:pPr>
        <w:spacing w:line="600" w:lineRule="exact"/>
        <w:ind w:firstLine="960" w:firstLineChars="300"/>
        <w:rPr>
          <w:rFonts w:hint="default"/>
          <w:lang w:val="en-US"/>
        </w:rPr>
        <w:sectPr>
          <w:footerReference r:id="rId3" w:type="default"/>
          <w:pgSz w:w="11906" w:h="16838"/>
          <w:pgMar w:top="1984" w:right="1417" w:bottom="1587" w:left="1417" w:header="851" w:footer="1361" w:gutter="0"/>
          <w:pgNumType w:fmt="decimal" w:start="1"/>
          <w:cols w:space="720" w:num="1"/>
          <w:docGrid w:type="lines" w:linePitch="312" w:charSpace="0"/>
        </w:sectPr>
      </w:pPr>
      <w:r>
        <w:rPr>
          <w:rFonts w:hint="eastAsia" w:ascii="仿宋_GB2312" w:hAnsi="宋体" w:eastAsia="仿宋_GB2312"/>
          <w:color w:val="000000" w:themeColor="text1"/>
          <w:sz w:val="32"/>
          <w:szCs w:val="32"/>
          <w:highlight w:val="none"/>
          <w:u w:val="none"/>
          <w:lang w:val="en-US" w:eastAsia="zh-CN"/>
          <w14:textFill>
            <w14:solidFill>
              <w14:schemeClr w14:val="tx1"/>
            </w14:solidFill>
          </w14:textFill>
        </w:rPr>
        <w:t>签订时间</w:t>
      </w:r>
      <w:r>
        <w:rPr>
          <w:rFonts w:hint="eastAsia" w:ascii="仿宋_GB2312" w:hAnsi="宋体" w:eastAsia="仿宋_GB2312"/>
          <w:color w:val="000000" w:themeColor="text1"/>
          <w:sz w:val="32"/>
          <w:szCs w:val="32"/>
          <w:highlight w:val="none"/>
          <w:u w:val="none"/>
          <w14:textFill>
            <w14:solidFill>
              <w14:schemeClr w14:val="tx1"/>
            </w14:solidFill>
          </w14:textFill>
        </w:rPr>
        <w:t>：</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p>
    <w:p w14:paraId="0585A3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甲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方</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lang w:val="en-US" w:eastAsia="zh-CN"/>
          <w14:textFill>
            <w14:solidFill>
              <w14:schemeClr w14:val="tx1"/>
            </w14:solidFill>
          </w14:textFill>
        </w:rPr>
        <w:t>出租方</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内江建工商业运营管理有限公司</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45C7B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法</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定   代   表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人</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叶栩鑫                                         </w:t>
      </w:r>
    </w:p>
    <w:p w14:paraId="4D63E7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住</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所</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四川省内江市东兴区兰桂大道377号1单元2</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4"/>
          <w:highlight w:val="none"/>
          <w:u w:val="single"/>
          <w14:textFill>
            <w14:solidFill>
              <w14:schemeClr w14:val="tx1"/>
            </w14:solidFill>
          </w14:textFill>
        </w:rPr>
        <w:t>楼1号</w:t>
      </w:r>
    </w:p>
    <w:p w14:paraId="3570BC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统 </w:t>
      </w:r>
      <w:r>
        <w:rPr>
          <w:rFonts w:hint="eastAsia" w:ascii="仿宋_GB2312" w:hAnsi="宋体" w:eastAsia="仿宋_GB2312"/>
          <w:color w:val="000000" w:themeColor="text1"/>
          <w:spacing w:val="45"/>
          <w:sz w:val="24"/>
          <w:highlight w:val="none"/>
          <w:lang w:val="en-US" w:eastAsia="zh-CN"/>
          <w14:textFill>
            <w14:solidFill>
              <w14:schemeClr w14:val="tx1"/>
            </w14:solidFill>
          </w14:textFill>
        </w:rPr>
        <w:t>一社会信用代</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 码</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91511000MAACKUPF9R</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24E11C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开 </w:t>
      </w:r>
      <w:r>
        <w:rPr>
          <w:rFonts w:hint="eastAsia" w:ascii="仿宋_GB2312" w:hAnsi="宋体" w:eastAsia="仿宋_GB2312"/>
          <w:color w:val="000000" w:themeColor="text1"/>
          <w:spacing w:val="-20"/>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户 </w:t>
      </w:r>
      <w:r>
        <w:rPr>
          <w:rFonts w:hint="eastAsia" w:ascii="仿宋_GB2312" w:hAnsi="宋体" w:eastAsia="仿宋_GB2312"/>
          <w:color w:val="000000" w:themeColor="text1"/>
          <w:spacing w:val="-20"/>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行：</w:t>
      </w:r>
      <w:r>
        <w:rPr>
          <w:rFonts w:hint="eastAsia" w:ascii="仿宋_GB2312" w:hAnsi="宋体" w:eastAsia="仿宋_GB2312"/>
          <w:color w:val="000000" w:themeColor="text1"/>
          <w:sz w:val="24"/>
          <w:highlight w:val="none"/>
          <w:u w:val="single"/>
          <w14:textFill>
            <w14:solidFill>
              <w14:schemeClr w14:val="tx1"/>
            </w14:solidFill>
          </w14:textFill>
        </w:rPr>
        <w:t>中国工商银行内江万达广场支行</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6C010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账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号：</w:t>
      </w:r>
      <w:r>
        <w:rPr>
          <w:rFonts w:hint="eastAsia" w:ascii="仿宋_GB2312" w:hAnsi="宋体" w:eastAsia="仿宋_GB2312"/>
          <w:color w:val="000000" w:themeColor="text1"/>
          <w:sz w:val="24"/>
          <w:highlight w:val="none"/>
          <w:u w:val="single"/>
          <w14:textFill>
            <w14:solidFill>
              <w14:schemeClr w14:val="tx1"/>
            </w14:solidFill>
          </w14:textFill>
        </w:rPr>
        <w:t>2307485119100036155</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4182C4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联</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系</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电</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话：</w:t>
      </w:r>
      <w:r>
        <w:rPr>
          <w:rFonts w:ascii="仿宋_GB2312" w:hAnsi="宋体" w:eastAsia="仿宋_GB2312"/>
          <w:color w:val="000000" w:themeColor="text1"/>
          <w:sz w:val="24"/>
          <w:highlight w:val="none"/>
          <w:u w:val="single"/>
          <w14:textFill>
            <w14:solidFill>
              <w14:schemeClr w14:val="tx1"/>
            </w14:solidFill>
          </w14:textFill>
        </w:rPr>
        <w:t>0832-</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2056002                                   </w:t>
      </w:r>
    </w:p>
    <w:p w14:paraId="672AB2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联</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系</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邮     箱：</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无                                             </w:t>
      </w:r>
    </w:p>
    <w:p w14:paraId="01E5F4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z w:val="24"/>
          <w:highlight w:val="none"/>
          <w:lang w:val="en-US" w:eastAsia="zh-CN"/>
          <w14:textFill>
            <w14:solidFill>
              <w14:schemeClr w14:val="tx1"/>
            </w14:solidFill>
          </w14:textFill>
        </w:rPr>
      </w:pPr>
    </w:p>
    <w:p w14:paraId="76E6C7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乙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方</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lang w:val="en-US" w:eastAsia="zh-CN"/>
          <w14:textFill>
            <w14:solidFill>
              <w14:schemeClr w14:val="tx1"/>
            </w14:solidFill>
          </w14:textFill>
        </w:rPr>
        <w:t>承租方</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1C92B6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法</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定   代   表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人</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7722DB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住</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所</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7F1A7D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统</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一社会信用代码/身份证号码</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11BB28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开 </w:t>
      </w:r>
      <w:r>
        <w:rPr>
          <w:rFonts w:hint="eastAsia" w:ascii="仿宋_GB2312" w:hAnsi="宋体" w:eastAsia="仿宋_GB2312"/>
          <w:color w:val="000000" w:themeColor="text1"/>
          <w:spacing w:val="-20"/>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户 </w:t>
      </w:r>
      <w:r>
        <w:rPr>
          <w:rFonts w:hint="eastAsia" w:ascii="仿宋_GB2312" w:hAnsi="宋体" w:eastAsia="仿宋_GB2312"/>
          <w:color w:val="000000" w:themeColor="text1"/>
          <w:spacing w:val="-20"/>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行：</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16D04B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账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号：</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11A43C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联</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系</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电</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话：</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0AB6B84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方正小标宋简体" w:hAnsi="宋体" w:eastAsia="方正小标宋简体"/>
          <w:color w:val="000000" w:themeColor="text1"/>
          <w:sz w:val="22"/>
          <w:szCs w:val="22"/>
          <w:highlight w:val="none"/>
          <w:lang w:val="en-US"/>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联</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2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系</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邮     箱：</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p>
    <w:p w14:paraId="40F8413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_GB2312" w:hAnsi="宋体" w:eastAsia="仿宋_GB2312"/>
          <w:b/>
          <w:bCs/>
          <w:color w:val="000000" w:themeColor="text1"/>
          <w:spacing w:val="0"/>
          <w:sz w:val="24"/>
          <w:highlight w:val="none"/>
          <w14:textFill>
            <w14:solidFill>
              <w14:schemeClr w14:val="tx1"/>
            </w14:solidFill>
          </w14:textFill>
        </w:rPr>
      </w:pPr>
    </w:p>
    <w:p w14:paraId="51F18A2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b/>
          <w:bCs/>
          <w:color w:val="000000" w:themeColor="text1"/>
          <w:spacing w:val="0"/>
          <w:sz w:val="24"/>
          <w:highlight w:val="none"/>
          <w14:textFill>
            <w14:solidFill>
              <w14:schemeClr w14:val="tx1"/>
            </w14:solidFill>
          </w14:textFill>
        </w:rPr>
        <w:t>声明：签订本合同前，乙方已详细察看了欲承租的甲方</w:t>
      </w:r>
      <w:r>
        <w:rPr>
          <w:rFonts w:hint="eastAsia" w:ascii="仿宋_GB2312" w:hAnsi="宋体" w:eastAsia="仿宋_GB2312"/>
          <w:b/>
          <w:bCs/>
          <w:color w:val="000000" w:themeColor="text1"/>
          <w:spacing w:val="0"/>
          <w:sz w:val="24"/>
          <w:highlight w:val="none"/>
          <w:lang w:val="en-US" w:eastAsia="zh-CN"/>
          <w14:textFill>
            <w14:solidFill>
              <w14:schemeClr w14:val="tx1"/>
            </w14:solidFill>
          </w14:textFill>
        </w:rPr>
        <w:t>租赁资产</w:t>
      </w:r>
      <w:r>
        <w:rPr>
          <w:rFonts w:hint="eastAsia" w:ascii="仿宋_GB2312" w:hAnsi="宋体" w:eastAsia="仿宋_GB2312"/>
          <w:b/>
          <w:bCs/>
          <w:color w:val="000000" w:themeColor="text1"/>
          <w:spacing w:val="0"/>
          <w:sz w:val="24"/>
          <w:highlight w:val="none"/>
          <w14:textFill>
            <w14:solidFill>
              <w14:schemeClr w14:val="tx1"/>
            </w14:solidFill>
          </w14:textFill>
        </w:rPr>
        <w:t>的情况，甲方对乙方就</w:t>
      </w:r>
      <w:r>
        <w:rPr>
          <w:rFonts w:hint="eastAsia" w:ascii="仿宋_GB2312" w:hAnsi="宋体" w:eastAsia="仿宋_GB2312"/>
          <w:b/>
          <w:bCs/>
          <w:color w:val="000000" w:themeColor="text1"/>
          <w:spacing w:val="0"/>
          <w:sz w:val="24"/>
          <w:highlight w:val="none"/>
          <w:lang w:val="en-US" w:eastAsia="zh-CN"/>
          <w14:textFill>
            <w14:solidFill>
              <w14:schemeClr w14:val="tx1"/>
            </w14:solidFill>
          </w14:textFill>
        </w:rPr>
        <w:t>租赁资产</w:t>
      </w:r>
      <w:r>
        <w:rPr>
          <w:rFonts w:hint="eastAsia" w:ascii="仿宋_GB2312" w:hAnsi="宋体" w:eastAsia="仿宋_GB2312"/>
          <w:b/>
          <w:bCs/>
          <w:color w:val="000000" w:themeColor="text1"/>
          <w:spacing w:val="0"/>
          <w:sz w:val="24"/>
          <w:highlight w:val="none"/>
          <w14:textFill>
            <w14:solidFill>
              <w14:schemeClr w14:val="tx1"/>
            </w14:solidFill>
          </w14:textFill>
        </w:rPr>
        <w:t>有关情况的询问给予了说明、解释。乙方认真阅读了本合同</w:t>
      </w:r>
      <w:r>
        <w:rPr>
          <w:rFonts w:hint="eastAsia" w:ascii="仿宋_GB2312" w:hAnsi="宋体" w:eastAsia="仿宋_GB2312"/>
          <w:b/>
          <w:bCs/>
          <w:color w:val="000000" w:themeColor="text1"/>
          <w:spacing w:val="0"/>
          <w:sz w:val="24"/>
          <w:highlight w:val="none"/>
          <w:lang w:val="en-US" w:eastAsia="zh-CN"/>
          <w14:textFill>
            <w14:solidFill>
              <w14:schemeClr w14:val="tx1"/>
            </w14:solidFill>
          </w14:textFill>
        </w:rPr>
        <w:t>及附件</w:t>
      </w:r>
      <w:r>
        <w:rPr>
          <w:rFonts w:hint="eastAsia" w:ascii="仿宋_GB2312" w:hAnsi="宋体" w:eastAsia="仿宋_GB2312"/>
          <w:b/>
          <w:bCs/>
          <w:color w:val="000000" w:themeColor="text1"/>
          <w:spacing w:val="0"/>
          <w:sz w:val="24"/>
          <w:highlight w:val="none"/>
          <w14:textFill>
            <w14:solidFill>
              <w14:schemeClr w14:val="tx1"/>
            </w14:solidFill>
          </w14:textFill>
        </w:rPr>
        <w:t>文本，全面了解了本合同</w:t>
      </w:r>
      <w:r>
        <w:rPr>
          <w:rFonts w:hint="eastAsia" w:ascii="仿宋_GB2312" w:hAnsi="宋体" w:eastAsia="仿宋_GB2312"/>
          <w:b/>
          <w:bCs/>
          <w:color w:val="000000" w:themeColor="text1"/>
          <w:spacing w:val="0"/>
          <w:sz w:val="24"/>
          <w:highlight w:val="none"/>
          <w:lang w:val="en-US" w:eastAsia="zh-CN"/>
          <w14:textFill>
            <w14:solidFill>
              <w14:schemeClr w14:val="tx1"/>
            </w14:solidFill>
          </w14:textFill>
        </w:rPr>
        <w:t>及附件</w:t>
      </w:r>
      <w:r>
        <w:rPr>
          <w:rFonts w:hint="eastAsia" w:ascii="仿宋_GB2312" w:hAnsi="宋体" w:eastAsia="仿宋_GB2312"/>
          <w:b/>
          <w:bCs/>
          <w:color w:val="000000" w:themeColor="text1"/>
          <w:spacing w:val="0"/>
          <w:sz w:val="24"/>
          <w:highlight w:val="none"/>
          <w14:textFill>
            <w14:solidFill>
              <w14:schemeClr w14:val="tx1"/>
            </w14:solidFill>
          </w14:textFill>
        </w:rPr>
        <w:t>的内容，特别是其中有关乙方责任</w:t>
      </w:r>
      <w:r>
        <w:rPr>
          <w:rFonts w:hint="eastAsia" w:ascii="仿宋_GB2312" w:hAnsi="宋体" w:eastAsia="仿宋_GB2312"/>
          <w:b/>
          <w:bCs/>
          <w:color w:val="000000" w:themeColor="text1"/>
          <w:spacing w:val="0"/>
          <w:sz w:val="24"/>
          <w:highlight w:val="none"/>
          <w:lang w:val="en-US" w:eastAsia="zh-CN"/>
          <w14:textFill>
            <w14:solidFill>
              <w14:schemeClr w14:val="tx1"/>
            </w14:solidFill>
          </w14:textFill>
        </w:rPr>
        <w:t>和乙方放弃权利</w:t>
      </w:r>
      <w:r>
        <w:rPr>
          <w:rFonts w:hint="eastAsia" w:ascii="仿宋_GB2312" w:hAnsi="宋体" w:eastAsia="仿宋_GB2312"/>
          <w:b/>
          <w:bCs/>
          <w:color w:val="000000" w:themeColor="text1"/>
          <w:spacing w:val="0"/>
          <w:sz w:val="24"/>
          <w:highlight w:val="none"/>
          <w14:textFill>
            <w14:solidFill>
              <w14:schemeClr w14:val="tx1"/>
            </w14:solidFill>
          </w14:textFill>
        </w:rPr>
        <w:t>的条款；甲方也应乙方的要求对本合同</w:t>
      </w:r>
      <w:r>
        <w:rPr>
          <w:rFonts w:hint="eastAsia" w:ascii="仿宋_GB2312" w:hAnsi="宋体" w:eastAsia="仿宋_GB2312"/>
          <w:b/>
          <w:bCs/>
          <w:color w:val="000000" w:themeColor="text1"/>
          <w:spacing w:val="0"/>
          <w:sz w:val="24"/>
          <w:highlight w:val="none"/>
          <w:lang w:val="en-US" w:eastAsia="zh-CN"/>
          <w14:textFill>
            <w14:solidFill>
              <w14:schemeClr w14:val="tx1"/>
            </w14:solidFill>
          </w14:textFill>
        </w:rPr>
        <w:t>及附件</w:t>
      </w:r>
      <w:r>
        <w:rPr>
          <w:rFonts w:hint="eastAsia" w:ascii="仿宋_GB2312" w:hAnsi="宋体" w:eastAsia="仿宋_GB2312"/>
          <w:b/>
          <w:bCs/>
          <w:color w:val="000000" w:themeColor="text1"/>
          <w:spacing w:val="0"/>
          <w:sz w:val="24"/>
          <w:highlight w:val="none"/>
          <w14:textFill>
            <w14:solidFill>
              <w14:schemeClr w14:val="tx1"/>
            </w14:solidFill>
          </w14:textFill>
        </w:rPr>
        <w:t>条款予以了说明。在此基础上</w:t>
      </w:r>
      <w:r>
        <w:rPr>
          <w:rFonts w:hint="eastAsia" w:ascii="仿宋_GB2312" w:hAnsi="宋体" w:eastAsia="仿宋_GB2312"/>
          <w:b/>
          <w:bCs/>
          <w:color w:val="000000" w:themeColor="text1"/>
          <w:spacing w:val="0"/>
          <w:sz w:val="24"/>
          <w:highlight w:val="none"/>
          <w:lang w:eastAsia="zh-CN"/>
          <w14:textFill>
            <w14:solidFill>
              <w14:schemeClr w14:val="tx1"/>
            </w14:solidFill>
          </w14:textFill>
        </w:rPr>
        <w:t>，</w:t>
      </w:r>
      <w:r>
        <w:rPr>
          <w:rFonts w:hint="eastAsia" w:ascii="仿宋_GB2312" w:hAnsi="宋体" w:eastAsia="仿宋_GB2312"/>
          <w:b/>
          <w:bCs/>
          <w:color w:val="000000" w:themeColor="text1"/>
          <w:spacing w:val="0"/>
          <w:sz w:val="24"/>
          <w:highlight w:val="none"/>
          <w14:textFill>
            <w14:solidFill>
              <w14:schemeClr w14:val="tx1"/>
            </w14:solidFill>
          </w14:textFill>
        </w:rPr>
        <w:t>乙方愿意按照</w:t>
      </w:r>
      <w:r>
        <w:rPr>
          <w:rFonts w:hint="eastAsia" w:ascii="仿宋_GB2312" w:hAnsi="宋体" w:eastAsia="仿宋_GB2312"/>
          <w:b/>
          <w:bCs/>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b/>
          <w:bCs/>
          <w:color w:val="000000" w:themeColor="text1"/>
          <w:spacing w:val="0"/>
          <w:sz w:val="24"/>
          <w:highlight w:val="none"/>
          <w14:textFill>
            <w14:solidFill>
              <w14:schemeClr w14:val="tx1"/>
            </w14:solidFill>
          </w14:textFill>
        </w:rPr>
        <w:t>现状进行租赁。</w:t>
      </w:r>
    </w:p>
    <w:p w14:paraId="792E6D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14:textFill>
            <w14:solidFill>
              <w14:schemeClr w14:val="tx1"/>
            </w14:solidFill>
          </w14:textFill>
        </w:rPr>
        <w:t>本合同项下租赁资产的所有权人系内江建工集团有限责任公司</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内江建工集团有限责任公司将本合同下租赁资产</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委托</w:t>
      </w:r>
      <w:r>
        <w:rPr>
          <w:rFonts w:hint="eastAsia" w:ascii="仿宋_GB2312" w:hAnsi="宋体" w:eastAsia="仿宋_GB2312"/>
          <w:color w:val="000000" w:themeColor="text1"/>
          <w:spacing w:val="0"/>
          <w:sz w:val="24"/>
          <w:highlight w:val="none"/>
          <w14:textFill>
            <w14:solidFill>
              <w14:schemeClr w14:val="tx1"/>
            </w14:solidFill>
          </w14:textFill>
        </w:rPr>
        <w:t>给甲方，由甲方对本合同项下租赁资产实施招商、租赁、收费、管理等</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6E6114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依照</w:t>
      </w:r>
      <w:r>
        <w:rPr>
          <w:rFonts w:hint="eastAsia" w:ascii="仿宋_GB2312" w:hAnsi="宋体" w:eastAsia="仿宋_GB2312"/>
          <w:color w:val="000000" w:themeColor="text1"/>
          <w:spacing w:val="0"/>
          <w:sz w:val="24"/>
          <w:highlight w:val="none"/>
          <w14:textFill>
            <w14:solidFill>
              <w14:schemeClr w14:val="tx1"/>
            </w14:solidFill>
          </w14:textFill>
        </w:rPr>
        <w:t>《中华人民共和国民法典》</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《内江市市属国有企业资产出租管理办法》等</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相关</w:t>
      </w:r>
      <w:r>
        <w:rPr>
          <w:rFonts w:hint="eastAsia" w:ascii="仿宋_GB2312" w:hAnsi="宋体" w:eastAsia="仿宋_GB2312"/>
          <w:color w:val="000000" w:themeColor="text1"/>
          <w:spacing w:val="0"/>
          <w:sz w:val="24"/>
          <w:highlight w:val="none"/>
          <w14:textFill>
            <w14:solidFill>
              <w14:schemeClr w14:val="tx1"/>
            </w14:solidFill>
          </w14:textFill>
        </w:rPr>
        <w:t>法律</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法规</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规章和规范性文件</w:t>
      </w:r>
      <w:r>
        <w:rPr>
          <w:rFonts w:hint="eastAsia" w:ascii="仿宋_GB2312" w:hAnsi="宋体" w:eastAsia="仿宋_GB2312"/>
          <w:color w:val="000000" w:themeColor="text1"/>
          <w:spacing w:val="0"/>
          <w:sz w:val="24"/>
          <w:highlight w:val="none"/>
          <w14:textFill>
            <w14:solidFill>
              <w14:schemeClr w14:val="tx1"/>
            </w14:solidFill>
          </w14:textFill>
        </w:rPr>
        <w:t>的规定，</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甲、乙双方</w:t>
      </w:r>
      <w:r>
        <w:rPr>
          <w:rFonts w:hint="eastAsia" w:ascii="仿宋_GB2312" w:hAnsi="宋体" w:eastAsia="仿宋_GB2312"/>
          <w:color w:val="000000" w:themeColor="text1"/>
          <w:spacing w:val="0"/>
          <w:sz w:val="24"/>
          <w:highlight w:val="none"/>
          <w14:textFill>
            <w14:solidFill>
              <w14:schemeClr w14:val="tx1"/>
            </w14:solidFill>
          </w14:textFill>
        </w:rPr>
        <w:t>在平等、自愿、</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合法</w:t>
      </w:r>
      <w:r>
        <w:rPr>
          <w:rFonts w:hint="eastAsia" w:ascii="仿宋_GB2312" w:hAnsi="宋体" w:eastAsia="仿宋_GB2312"/>
          <w:color w:val="000000" w:themeColor="text1"/>
          <w:spacing w:val="0"/>
          <w:sz w:val="24"/>
          <w:highlight w:val="none"/>
          <w14:textFill>
            <w14:solidFill>
              <w14:schemeClr w14:val="tx1"/>
            </w14:solidFill>
          </w14:textFill>
        </w:rPr>
        <w:t>和诚实信用的基础上，经过充分协商，就</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租赁的有关事项达成一致，订立本</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合同</w:t>
      </w:r>
      <w:r>
        <w:rPr>
          <w:rFonts w:hint="eastAsia" w:ascii="仿宋_GB2312" w:hAnsi="宋体" w:eastAsia="仿宋_GB2312"/>
          <w:color w:val="000000" w:themeColor="text1"/>
          <w:spacing w:val="0"/>
          <w:sz w:val="24"/>
          <w:highlight w:val="none"/>
          <w14:textFill>
            <w14:solidFill>
              <w14:schemeClr w14:val="tx1"/>
            </w14:solidFill>
          </w14:textFill>
        </w:rPr>
        <w:t>。</w:t>
      </w:r>
    </w:p>
    <w:p w14:paraId="1F34746A">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olor w:val="000000" w:themeColor="text1"/>
          <w:spacing w:val="0"/>
          <w:sz w:val="24"/>
          <w:highlight w:val="none"/>
          <w14:textFill>
            <w14:solidFill>
              <w14:schemeClr w14:val="tx1"/>
            </w14:solidFill>
          </w14:textFill>
        </w:rPr>
      </w:pPr>
    </w:p>
    <w:p w14:paraId="2C1AF2D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olor w:val="000000" w:themeColor="text1"/>
          <w:spacing w:val="0"/>
          <w:sz w:val="24"/>
          <w:highlight w:val="none"/>
          <w:lang w:val="en-US"/>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第一条 租赁</w:t>
      </w:r>
      <w:r>
        <w:rPr>
          <w:rFonts w:hint="eastAsia" w:ascii="黑体" w:hAnsi="黑体" w:eastAsia="黑体"/>
          <w:color w:val="000000" w:themeColor="text1"/>
          <w:spacing w:val="0"/>
          <w:sz w:val="24"/>
          <w:highlight w:val="none"/>
          <w:lang w:val="en-US" w:eastAsia="zh-CN"/>
          <w14:textFill>
            <w14:solidFill>
              <w14:schemeClr w14:val="tx1"/>
            </w14:solidFill>
          </w14:textFill>
        </w:rPr>
        <w:t>资产情况</w:t>
      </w:r>
    </w:p>
    <w:p w14:paraId="63B33E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single"/>
          <w14:textFill>
            <w14:solidFill>
              <w14:schemeClr w14:val="tx1"/>
            </w14:solidFill>
          </w14:textFill>
        </w:rPr>
      </w:pPr>
      <w:r>
        <w:rPr>
          <w:rFonts w:hint="eastAsia" w:ascii="仿宋_GB2312" w:hAnsi="宋体" w:eastAsia="仿宋_GB2312"/>
          <w:color w:val="000000" w:themeColor="text1"/>
          <w:spacing w:val="0"/>
          <w:sz w:val="24"/>
          <w:highlight w:val="none"/>
          <w14:textFill>
            <w14:solidFill>
              <w14:schemeClr w14:val="tx1"/>
            </w14:solidFill>
          </w14:textFill>
        </w:rPr>
        <w:t>1</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1. 资产</w:t>
      </w:r>
      <w:r>
        <w:rPr>
          <w:rFonts w:hint="eastAsia" w:ascii="仿宋_GB2312" w:hAnsi="宋体" w:eastAsia="仿宋_GB2312"/>
          <w:color w:val="000000" w:themeColor="text1"/>
          <w:spacing w:val="0"/>
          <w:sz w:val="24"/>
          <w:highlight w:val="none"/>
          <w14:textFill>
            <w14:solidFill>
              <w14:schemeClr w14:val="tx1"/>
            </w14:solidFill>
          </w14:textFill>
        </w:rPr>
        <w:t>地址：</w:t>
      </w:r>
      <w:r>
        <w:rPr>
          <w:rFonts w:hint="eastAsia" w:ascii="仿宋_GB2312" w:hAnsi="宋体" w:eastAsia="仿宋_GB2312"/>
          <w:color w:val="000000" w:themeColor="text1"/>
          <w:spacing w:val="-20"/>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p>
    <w:p w14:paraId="28F969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_GB2312"/>
          <w:color w:val="000000" w:themeColor="text1"/>
          <w:spacing w:val="0"/>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 租赁建筑</w:t>
      </w:r>
      <w:r>
        <w:rPr>
          <w:rFonts w:hint="eastAsia" w:ascii="仿宋_GB2312" w:hAnsi="宋体" w:eastAsia="仿宋_GB2312"/>
          <w:color w:val="000000" w:themeColor="text1"/>
          <w:spacing w:val="0"/>
          <w:sz w:val="24"/>
          <w:highlight w:val="none"/>
          <w14:textFill>
            <w14:solidFill>
              <w14:schemeClr w14:val="tx1"/>
            </w14:solidFill>
          </w14:textFill>
        </w:rPr>
        <w:t>面积：</w:t>
      </w:r>
      <w:r>
        <w:rPr>
          <w:rFonts w:hint="eastAsia" w:ascii="仿宋_GB2312" w:hAnsi="宋体" w:eastAsia="仿宋_GB2312"/>
          <w:color w:val="000000" w:themeColor="text1"/>
          <w:spacing w:val="-20"/>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
    <w:p w14:paraId="6EA32D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  租赁区域以产权证或甲方所持测绘</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报告</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所载区域</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为准</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w:t>
      </w:r>
    </w:p>
    <w:p w14:paraId="27A5FB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1.4. </w:t>
      </w:r>
      <w:r>
        <w:rPr>
          <w:rFonts w:hint="eastAsia" w:ascii="仿宋_GB2312" w:hAnsi="宋体" w:eastAsia="仿宋_GB2312"/>
          <w:color w:val="000000" w:themeColor="text1"/>
          <w:spacing w:val="0"/>
          <w:sz w:val="24"/>
          <w:highlight w:val="none"/>
          <w14:textFill>
            <w14:solidFill>
              <w14:schemeClr w14:val="tx1"/>
            </w14:solidFill>
          </w14:textFill>
        </w:rPr>
        <w:t>甲方将</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租赁资产</w:t>
      </w:r>
      <w:r>
        <w:rPr>
          <w:rFonts w:hint="eastAsia" w:ascii="仿宋_GB2312" w:hAnsi="宋体" w:eastAsia="仿宋_GB2312"/>
          <w:color w:val="000000" w:themeColor="text1"/>
          <w:spacing w:val="0"/>
          <w:sz w:val="24"/>
          <w:highlight w:val="none"/>
          <w14:textFill>
            <w14:solidFill>
              <w14:schemeClr w14:val="tx1"/>
            </w14:solidFill>
          </w14:textFill>
        </w:rPr>
        <w:t>按现状出租给乙方使用</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629780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 xml:space="preserve">1.5. </w:t>
      </w:r>
      <w:r>
        <w:rPr>
          <w:rFonts w:hint="eastAsia" w:ascii="仿宋_GB2312" w:hAnsi="宋体" w:eastAsia="仿宋_GB2312"/>
          <w:color w:val="000000" w:themeColor="text1"/>
          <w:spacing w:val="0"/>
          <w:sz w:val="24"/>
          <w:highlight w:val="none"/>
          <w:u w:val="none"/>
          <w14:textFill>
            <w14:solidFill>
              <w14:schemeClr w14:val="tx1"/>
            </w14:solidFill>
          </w14:textFill>
        </w:rPr>
        <w:t>本合同签订后，</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任何一方不得因租赁建筑面积与第三方测量的建筑面积、套内建筑面积或其他算法的面积有出入要求变更或调整面积，除非甲、乙双方达成一致并签订书面的补充协议。</w:t>
      </w:r>
    </w:p>
    <w:p w14:paraId="1DACCC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FF0000"/>
          <w:spacing w:val="0"/>
          <w:sz w:val="24"/>
          <w:highlight w:val="none"/>
          <w:u w:val="single"/>
          <w:lang w:eastAsia="zh-CN"/>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 乙方承诺，已于</w:t>
      </w:r>
      <w:r>
        <w:rPr>
          <w:rFonts w:hint="eastAsia" w:ascii="仿宋_GB2312" w:hAnsi="宋体" w:eastAsia="仿宋_GB2312"/>
          <w:color w:val="000000" w:themeColor="text1"/>
          <w:spacing w:val="0"/>
          <w:sz w:val="24"/>
          <w:highlight w:val="none"/>
          <w14:textFill>
            <w14:solidFill>
              <w14:schemeClr w14:val="tx1"/>
            </w14:solidFill>
          </w14:textFill>
        </w:rPr>
        <w:t>本合同签订</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前</w:t>
      </w:r>
      <w:r>
        <w:rPr>
          <w:rFonts w:hint="eastAsia" w:ascii="仿宋_GB2312" w:hAnsi="宋体" w:eastAsia="仿宋_GB2312"/>
          <w:color w:val="000000" w:themeColor="text1"/>
          <w:spacing w:val="0"/>
          <w:sz w:val="24"/>
          <w:highlight w:val="none"/>
          <w14:textFill>
            <w14:solidFill>
              <w14:schemeClr w14:val="tx1"/>
            </w14:solidFill>
          </w14:textFill>
        </w:rPr>
        <w:t>实地勘察</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了租赁资产，并明确知悉现场情况，包括但不限于：权属情况；面积、层高、内部管线、布局、结构、水、电、气、空调、烟道、下水、排水、防水等工程现状；道路设计、场地规划、停车条件等周边环境状况；</w:t>
      </w:r>
      <w:r>
        <w:rPr>
          <w:rFonts w:hint="eastAsia" w:ascii="仿宋_GB2312" w:hAnsi="宋体" w:eastAsia="仿宋_GB2312"/>
          <w:color w:val="000000"/>
          <w:spacing w:val="0"/>
          <w:sz w:val="24"/>
          <w:highlight w:val="none"/>
          <w:lang w:val="en-US" w:eastAsia="zh-CN"/>
        </w:rPr>
        <w:t>配电室、消防栓、发电机、抽水泵等</w:t>
      </w:r>
      <w:r>
        <w:rPr>
          <w:rFonts w:hint="eastAsia" w:ascii="仿宋_GB2312" w:hAnsi="Times New Roman" w:eastAsia="仿宋_GB2312" w:cs="Times New Roman"/>
          <w:sz w:val="24"/>
          <w:u w:val="none"/>
          <w:lang w:val="en-US" w:eastAsia="zh-CN"/>
        </w:rPr>
        <w:t>附属、配套及其他相关</w:t>
      </w:r>
      <w:r>
        <w:rPr>
          <w:rFonts w:hint="eastAsia" w:ascii="仿宋_GB2312" w:hAnsi="宋体" w:eastAsia="仿宋_GB2312"/>
          <w:color w:val="000000"/>
          <w:spacing w:val="0"/>
          <w:sz w:val="24"/>
          <w:highlight w:val="none"/>
          <w:lang w:val="en-US" w:eastAsia="zh-CN"/>
        </w:rPr>
        <w:t>设施设备的种类和数量</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，乙方对现场情况无任何异议。</w:t>
      </w:r>
    </w:p>
    <w:p w14:paraId="34C7082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0B53801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lang w:val="en-US" w:eastAsia="zh-CN"/>
          <w14:textFill>
            <w14:solidFill>
              <w14:schemeClr w14:val="tx1"/>
            </w14:solidFill>
          </w14:textFill>
        </w:rPr>
      </w:pPr>
      <w:r>
        <w:rPr>
          <w:rFonts w:hint="eastAsia" w:ascii="黑体" w:hAnsi="黑体" w:eastAsia="黑体"/>
          <w:color w:val="000000" w:themeColor="text1"/>
          <w:spacing w:val="0"/>
          <w:sz w:val="24"/>
          <w:highlight w:val="none"/>
          <w:lang w:val="en-US" w:eastAsia="zh-CN"/>
          <w14:textFill>
            <w14:solidFill>
              <w14:schemeClr w14:val="tx1"/>
            </w14:solidFill>
          </w14:textFill>
        </w:rPr>
        <w:t xml:space="preserve">第二条 </w:t>
      </w:r>
      <w:r>
        <w:rPr>
          <w:rFonts w:hint="eastAsia" w:ascii="黑体" w:hAnsi="黑体" w:eastAsia="黑体"/>
          <w:color w:val="000000" w:themeColor="text1"/>
          <w:spacing w:val="0"/>
          <w:sz w:val="24"/>
          <w:highlight w:val="none"/>
          <w14:textFill>
            <w14:solidFill>
              <w14:schemeClr w14:val="tx1"/>
            </w14:solidFill>
          </w14:textFill>
        </w:rPr>
        <w:t>租赁</w:t>
      </w:r>
      <w:r>
        <w:rPr>
          <w:rFonts w:hint="eastAsia" w:ascii="黑体" w:hAnsi="黑体" w:eastAsia="黑体"/>
          <w:color w:val="000000" w:themeColor="text1"/>
          <w:spacing w:val="0"/>
          <w:sz w:val="24"/>
          <w:highlight w:val="none"/>
          <w:lang w:val="en-US" w:eastAsia="zh-CN"/>
          <w14:textFill>
            <w14:solidFill>
              <w14:schemeClr w14:val="tx1"/>
            </w14:solidFill>
          </w14:textFill>
        </w:rPr>
        <w:t>资产交接</w:t>
      </w:r>
    </w:p>
    <w:p w14:paraId="596B3BB8">
      <w:pPr>
        <w:keepNext w:val="0"/>
        <w:keepLines w:val="0"/>
        <w:pageBreakBefore w:val="0"/>
        <w:widowControl w:val="0"/>
        <w:kinsoku/>
        <w:wordWrap/>
        <w:overflowPunct/>
        <w:topLinePunct w:val="0"/>
        <w:autoSpaceDE/>
        <w:autoSpaceDN/>
        <w:bidi w:val="0"/>
        <w:adjustRightInd/>
        <w:snapToGrid/>
        <w:spacing w:line="440" w:lineRule="exact"/>
        <w:ind w:right="-254" w:rightChars="-121" w:firstLine="480" w:firstLineChars="200"/>
        <w:textAlignment w:val="auto"/>
        <w:rPr>
          <w:rFonts w:hint="eastAsia" w:ascii="仿宋_GB2312" w:hAnsi="宋体" w:eastAsia="仿宋_GB2312"/>
          <w:b w:val="0"/>
          <w:bCs w:val="0"/>
          <w:color w:val="000000" w:themeColor="text1"/>
          <w:spacing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 xml:space="preserve">2.1. </w:t>
      </w:r>
      <w:r>
        <w:rPr>
          <w:rFonts w:hint="eastAsia" w:ascii="仿宋_GB2312" w:hAnsi="仿宋_GB2312" w:eastAsia="仿宋_GB2312" w:cs="仿宋_GB2312"/>
          <w:color w:val="000000" w:themeColor="text1"/>
          <w:spacing w:val="0"/>
          <w:sz w:val="24"/>
          <w:highlight w:val="none"/>
          <w14:textFill>
            <w14:solidFill>
              <w14:schemeClr w14:val="tx1"/>
            </w14:solidFill>
          </w14:textFill>
        </w:rPr>
        <w:t>租赁</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资产</w:t>
      </w:r>
      <w:r>
        <w:rPr>
          <w:rFonts w:hint="eastAsia" w:ascii="仿宋_GB2312" w:hAnsi="仿宋_GB2312" w:eastAsia="仿宋_GB2312" w:cs="仿宋_GB2312"/>
          <w:color w:val="000000" w:themeColor="text1"/>
          <w:spacing w:val="0"/>
          <w:sz w:val="24"/>
          <w:highlight w:val="none"/>
          <w14:textFill>
            <w14:solidFill>
              <w14:schemeClr w14:val="tx1"/>
            </w14:solidFill>
          </w14:textFill>
        </w:rPr>
        <w:t>在交付时，因甲方原因不能按时完成交付</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0"/>
          <w:sz w:val="24"/>
          <w:highlight w:val="none"/>
          <w14:textFill>
            <w14:solidFill>
              <w14:schemeClr w14:val="tx1"/>
            </w14:solidFill>
          </w14:textFill>
        </w:rPr>
        <w:t>，乙方的免租期及起租时间将顺延。</w:t>
      </w:r>
    </w:p>
    <w:p w14:paraId="203FEA54">
      <w:pPr>
        <w:numPr>
          <w:ilvl w:val="0"/>
          <w:numId w:val="0"/>
        </w:numPr>
        <w:spacing w:line="440" w:lineRule="exact"/>
        <w:ind w:firstLine="480" w:firstLineChars="200"/>
        <w:rPr>
          <w:rFonts w:hint="default" w:ascii="仿宋_GB2312" w:hAnsi="仿宋_GB2312" w:eastAsia="仿宋_GB2312" w:cs="仿宋_GB2312"/>
          <w:color w:val="000000" w:themeColor="text1"/>
          <w:sz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2.2. 租赁资产交接</w:t>
      </w:r>
      <w:r>
        <w:rPr>
          <w:rFonts w:hint="eastAsia" w:ascii="仿宋_GB2312" w:hAnsi="仿宋_GB2312" w:eastAsia="仿宋_GB2312" w:cs="仿宋_GB2312"/>
          <w:color w:val="000000" w:themeColor="text1"/>
          <w:spacing w:val="0"/>
          <w:sz w:val="24"/>
          <w:highlight w:val="none"/>
          <w14:textFill>
            <w14:solidFill>
              <w14:schemeClr w14:val="tx1"/>
            </w14:solidFill>
          </w14:textFill>
        </w:rPr>
        <w:t>时，</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甲、乙</w:t>
      </w:r>
      <w:r>
        <w:rPr>
          <w:rFonts w:hint="eastAsia" w:ascii="仿宋_GB2312" w:hAnsi="仿宋_GB2312" w:eastAsia="仿宋_GB2312" w:cs="仿宋_GB2312"/>
          <w:color w:val="000000" w:themeColor="text1"/>
          <w:spacing w:val="0"/>
          <w:sz w:val="24"/>
          <w:highlight w:val="none"/>
          <w14:textFill>
            <w14:solidFill>
              <w14:schemeClr w14:val="tx1"/>
            </w14:solidFill>
          </w14:textFill>
        </w:rPr>
        <w:t>双方</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应当</w:t>
      </w:r>
      <w:r>
        <w:rPr>
          <w:rFonts w:hint="eastAsia" w:ascii="仿宋_GB2312" w:hAnsi="仿宋_GB2312" w:eastAsia="仿宋_GB2312" w:cs="仿宋_GB2312"/>
          <w:color w:val="000000" w:themeColor="text1"/>
          <w:spacing w:val="0"/>
          <w:sz w:val="24"/>
          <w:highlight w:val="none"/>
          <w14:textFill>
            <w14:solidFill>
              <w14:schemeClr w14:val="tx1"/>
            </w14:solidFill>
          </w14:textFill>
        </w:rPr>
        <w:t>办理书面交接手续，清点租赁</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资产</w:t>
      </w:r>
      <w:r>
        <w:rPr>
          <w:rFonts w:hint="eastAsia" w:ascii="仿宋_GB2312" w:hAnsi="仿宋_GB2312" w:eastAsia="仿宋_GB2312" w:cs="仿宋_GB2312"/>
          <w:color w:val="000000" w:themeColor="text1"/>
          <w:spacing w:val="0"/>
          <w:sz w:val="24"/>
          <w:highlight w:val="none"/>
          <w14:textFill>
            <w14:solidFill>
              <w14:schemeClr w14:val="tx1"/>
            </w14:solidFill>
          </w14:textFill>
        </w:rPr>
        <w:t>内属于甲方的设备设施（</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若</w:t>
      </w:r>
      <w:r>
        <w:rPr>
          <w:rFonts w:hint="eastAsia" w:ascii="仿宋_GB2312" w:hAnsi="仿宋_GB2312" w:eastAsia="仿宋_GB2312" w:cs="仿宋_GB2312"/>
          <w:color w:val="000000" w:themeColor="text1"/>
          <w:spacing w:val="0"/>
          <w:sz w:val="24"/>
          <w:highlight w:val="none"/>
          <w14:textFill>
            <w14:solidFill>
              <w14:schemeClr w14:val="tx1"/>
            </w14:solidFill>
          </w14:textFill>
        </w:rPr>
        <w:t>有），记载水、电</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气</w:t>
      </w:r>
      <w:r>
        <w:rPr>
          <w:rFonts w:hint="eastAsia" w:ascii="仿宋_GB2312" w:hAnsi="仿宋_GB2312" w:eastAsia="仿宋_GB2312" w:cs="仿宋_GB2312"/>
          <w:color w:val="000000" w:themeColor="text1"/>
          <w:spacing w:val="0"/>
          <w:sz w:val="24"/>
          <w:highlight w:val="none"/>
          <w14:textFill>
            <w14:solidFill>
              <w14:schemeClr w14:val="tx1"/>
            </w14:solidFill>
          </w14:textFill>
        </w:rPr>
        <w:t>等计量表的</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读</w:t>
      </w:r>
      <w:r>
        <w:rPr>
          <w:rFonts w:hint="eastAsia" w:ascii="仿宋_GB2312" w:hAnsi="仿宋_GB2312" w:eastAsia="仿宋_GB2312" w:cs="仿宋_GB2312"/>
          <w:color w:val="000000" w:themeColor="text1"/>
          <w:spacing w:val="0"/>
          <w:sz w:val="24"/>
          <w:highlight w:val="none"/>
          <w14:textFill>
            <w14:solidFill>
              <w14:schemeClr w14:val="tx1"/>
            </w14:solidFill>
          </w14:textFill>
        </w:rPr>
        <w:t>数</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并签署</w:t>
      </w:r>
      <w:r>
        <w:rPr>
          <w:rFonts w:hint="eastAsia" w:ascii="仿宋_GB2312" w:hAnsi="宋体" w:eastAsia="仿宋_GB2312"/>
          <w:b w:val="0"/>
          <w:bCs w:val="0"/>
          <w:color w:val="000000" w:themeColor="text1"/>
          <w:spacing w:val="0"/>
          <w:sz w:val="24"/>
          <w:highlight w:val="none"/>
          <w:lang w:val="en-US" w:eastAsia="zh-CN"/>
          <w14:textFill>
            <w14:solidFill>
              <w14:schemeClr w14:val="tx1"/>
            </w14:solidFill>
          </w14:textFill>
        </w:rPr>
        <w:t>《租赁资产现场交接确认书（交付）》。</w:t>
      </w:r>
      <w:r>
        <w:rPr>
          <w:rFonts w:hint="default" w:ascii="仿宋_GB2312" w:hAnsi="仿宋_GB2312" w:eastAsia="仿宋_GB2312" w:cs="仿宋_GB2312"/>
          <w:color w:val="000000" w:themeColor="text1"/>
          <w:sz w:val="24"/>
          <w:highlight w:val="none"/>
          <w:lang w:eastAsia="zh-CN" w:bidi="ar-SA"/>
          <w14:textFill>
            <w14:solidFill>
              <w14:schemeClr w14:val="tx1"/>
            </w14:solidFill>
          </w14:textFill>
        </w:rPr>
        <w:t>租赁</w:t>
      </w:r>
      <w:r>
        <w:rPr>
          <w:rFonts w:hint="eastAsia" w:ascii="仿宋_GB2312" w:hAnsi="仿宋_GB2312" w:eastAsia="仿宋_GB2312" w:cs="仿宋_GB2312"/>
          <w:color w:val="000000" w:themeColor="text1"/>
          <w:sz w:val="24"/>
          <w:highlight w:val="none"/>
          <w:lang w:val="en-US" w:eastAsia="zh-CN" w:bidi="ar-SA"/>
          <w14:textFill>
            <w14:solidFill>
              <w14:schemeClr w14:val="tx1"/>
            </w14:solidFill>
          </w14:textFill>
        </w:rPr>
        <w:t>资产</w:t>
      </w:r>
      <w:r>
        <w:rPr>
          <w:rFonts w:hint="default" w:ascii="仿宋_GB2312" w:hAnsi="仿宋_GB2312" w:eastAsia="仿宋_GB2312" w:cs="仿宋_GB2312"/>
          <w:color w:val="000000" w:themeColor="text1"/>
          <w:sz w:val="24"/>
          <w:highlight w:val="none"/>
          <w:lang w:val="en-US" w:eastAsia="zh-CN" w:bidi="ar-SA"/>
          <w14:textFill>
            <w14:solidFill>
              <w14:schemeClr w14:val="tx1"/>
            </w14:solidFill>
          </w14:textFill>
        </w:rPr>
        <w:t>现有</w:t>
      </w:r>
      <w:r>
        <w:rPr>
          <w:rFonts w:hint="default" w:ascii="仿宋_GB2312" w:hAnsi="仿宋_GB2312" w:eastAsia="仿宋_GB2312" w:cs="仿宋_GB2312"/>
          <w:color w:val="000000" w:themeColor="text1"/>
          <w:sz w:val="24"/>
          <w:highlight w:val="none"/>
          <w:lang w:bidi="ar-SA"/>
          <w14:textFill>
            <w14:solidFill>
              <w14:schemeClr w14:val="tx1"/>
            </w14:solidFill>
          </w14:textFill>
        </w:rPr>
        <w:t>设施设备一并移交乙方使用，双方在</w:t>
      </w:r>
      <w:r>
        <w:rPr>
          <w:rFonts w:hint="default" w:ascii="仿宋_GB2312" w:hAnsi="仿宋_GB2312" w:eastAsia="仿宋_GB2312" w:cs="仿宋_GB2312"/>
          <w:b w:val="0"/>
          <w:bCs w:val="0"/>
          <w:color w:val="000000" w:themeColor="text1"/>
          <w:spacing w:val="0"/>
          <w:sz w:val="24"/>
          <w:highlight w:val="none"/>
          <w:lang w:val="en-US" w:eastAsia="zh-CN"/>
          <w14:textFill>
            <w14:solidFill>
              <w14:schemeClr w14:val="tx1"/>
            </w14:solidFill>
          </w14:textFill>
        </w:rPr>
        <w:t>《租赁资产现场交接确认书（交付）》</w:t>
      </w:r>
      <w:r>
        <w:rPr>
          <w:rFonts w:hint="default" w:ascii="仿宋_GB2312" w:hAnsi="仿宋_GB2312" w:eastAsia="仿宋_GB2312" w:cs="仿宋_GB2312"/>
          <w:color w:val="000000" w:themeColor="text1"/>
          <w:sz w:val="24"/>
          <w:highlight w:val="none"/>
          <w:lang w:bidi="ar-SA"/>
          <w14:textFill>
            <w14:solidFill>
              <w14:schemeClr w14:val="tx1"/>
            </w14:solidFill>
          </w14:textFill>
        </w:rPr>
        <w:t>上签字盖章并后视为交付完成</w:t>
      </w:r>
      <w:r>
        <w:rPr>
          <w:rFonts w:hint="eastAsia" w:ascii="仿宋_GB2312" w:hAnsi="仿宋_GB2312" w:eastAsia="仿宋_GB2312" w:cs="仿宋_GB2312"/>
          <w:color w:val="000000" w:themeColor="text1"/>
          <w:sz w:val="24"/>
          <w:highlight w:val="none"/>
          <w:lang w:val="en-US" w:eastAsia="zh-CN" w:bidi="ar-SA"/>
          <w14:textFill>
            <w14:solidFill>
              <w14:schemeClr w14:val="tx1"/>
            </w14:solidFill>
          </w14:textFill>
        </w:rPr>
        <w:t>。</w:t>
      </w:r>
    </w:p>
    <w:p w14:paraId="785D4C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highlight w:val="none"/>
          <w14:textFill>
            <w14:solidFill>
              <w14:schemeClr w14:val="tx1"/>
            </w14:solidFill>
          </w14:textFill>
        </w:rPr>
      </w:pPr>
    </w:p>
    <w:p w14:paraId="72278A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lang w:val="en-US" w:eastAsia="zh-CN"/>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三</w:t>
      </w:r>
      <w:r>
        <w:rPr>
          <w:rFonts w:hint="eastAsia" w:ascii="黑体" w:hAnsi="黑体" w:eastAsia="黑体"/>
          <w:color w:val="000000" w:themeColor="text1"/>
          <w:spacing w:val="0"/>
          <w:sz w:val="24"/>
          <w:highlight w:val="none"/>
          <w14:textFill>
            <w14:solidFill>
              <w14:schemeClr w14:val="tx1"/>
            </w14:solidFill>
          </w14:textFill>
        </w:rPr>
        <w:t xml:space="preserve">条 </w:t>
      </w:r>
      <w:r>
        <w:rPr>
          <w:rFonts w:hint="eastAsia" w:ascii="黑体" w:hAnsi="黑体" w:eastAsia="黑体"/>
          <w:color w:val="000000" w:themeColor="text1"/>
          <w:spacing w:val="0"/>
          <w:sz w:val="24"/>
          <w:highlight w:val="none"/>
          <w:lang w:val="en-US" w:eastAsia="zh-CN"/>
          <w14:textFill>
            <w14:solidFill>
              <w14:schemeClr w14:val="tx1"/>
            </w14:solidFill>
          </w14:textFill>
        </w:rPr>
        <w:t>租赁资产</w:t>
      </w:r>
      <w:r>
        <w:rPr>
          <w:rFonts w:hint="eastAsia" w:ascii="黑体" w:hAnsi="黑体" w:eastAsia="黑体"/>
          <w:color w:val="000000" w:themeColor="text1"/>
          <w:spacing w:val="0"/>
          <w:sz w:val="24"/>
          <w:highlight w:val="none"/>
          <w14:textFill>
            <w14:solidFill>
              <w14:schemeClr w14:val="tx1"/>
            </w14:solidFill>
          </w14:textFill>
        </w:rPr>
        <w:t>用途</w:t>
      </w:r>
      <w:r>
        <w:rPr>
          <w:rFonts w:hint="eastAsia" w:ascii="黑体" w:hAnsi="黑体" w:eastAsia="黑体"/>
          <w:color w:val="000000" w:themeColor="text1"/>
          <w:spacing w:val="0"/>
          <w:sz w:val="24"/>
          <w:highlight w:val="none"/>
          <w:lang w:val="en-US" w:eastAsia="zh-CN"/>
          <w14:textFill>
            <w14:solidFill>
              <w14:schemeClr w14:val="tx1"/>
            </w14:solidFill>
          </w14:textFill>
        </w:rPr>
        <w:t>和使用要求</w:t>
      </w:r>
    </w:p>
    <w:p w14:paraId="29B0FD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3.1. </w:t>
      </w:r>
      <w:r>
        <w:rPr>
          <w:rFonts w:hint="eastAsia" w:ascii="仿宋_GB2312" w:hAnsi="宋体" w:eastAsia="仿宋_GB2312"/>
          <w:color w:val="000000" w:themeColor="text1"/>
          <w:spacing w:val="0"/>
          <w:sz w:val="24"/>
          <w:highlight w:val="none"/>
          <w14:textFill>
            <w14:solidFill>
              <w14:schemeClr w14:val="tx1"/>
            </w14:solidFill>
          </w14:textFill>
        </w:rPr>
        <w:t>该租赁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仅作为</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使用</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w:t>
      </w:r>
      <w:r>
        <w:rPr>
          <w:rFonts w:hint="eastAsia" w:ascii="仿宋_GB2312" w:hAnsi="宋体" w:eastAsia="仿宋_GB2312"/>
          <w:color w:val="000000" w:themeColor="text1"/>
          <w:spacing w:val="0"/>
          <w:sz w:val="24"/>
          <w:highlight w:val="none"/>
          <w14:textFill>
            <w14:solidFill>
              <w14:schemeClr w14:val="tx1"/>
            </w14:solidFill>
          </w14:textFill>
        </w:rPr>
        <w:t>在租赁期内未征得甲方书面同意且按规定需有关</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单位</w:t>
      </w:r>
      <w:r>
        <w:rPr>
          <w:rFonts w:hint="eastAsia" w:ascii="仿宋_GB2312" w:hAnsi="宋体" w:eastAsia="仿宋_GB2312"/>
          <w:color w:val="000000" w:themeColor="text1"/>
          <w:spacing w:val="0"/>
          <w:sz w:val="24"/>
          <w:highlight w:val="none"/>
          <w14:textFill>
            <w14:solidFill>
              <w14:schemeClr w14:val="tx1"/>
            </w14:solidFill>
          </w14:textFill>
        </w:rPr>
        <w:t>审批而未</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获批准</w:t>
      </w:r>
      <w:r>
        <w:rPr>
          <w:rFonts w:hint="eastAsia" w:ascii="仿宋_GB2312" w:hAnsi="宋体" w:eastAsia="仿宋_GB2312"/>
          <w:color w:val="000000" w:themeColor="text1"/>
          <w:spacing w:val="0"/>
          <w:sz w:val="24"/>
          <w:highlight w:val="none"/>
          <w14:textFill>
            <w14:solidFill>
              <w14:schemeClr w14:val="tx1"/>
            </w14:solidFill>
          </w14:textFill>
        </w:rPr>
        <w:t>前，不得擅自</w:t>
      </w:r>
      <w:r>
        <w:rPr>
          <w:rFonts w:hint="eastAsia" w:ascii="仿宋_GB2312" w:hAnsi="宋体" w:eastAsia="仿宋_GB2312"/>
          <w:color w:val="auto"/>
          <w:spacing w:val="0"/>
          <w:sz w:val="24"/>
          <w:highlight w:val="none"/>
          <w:lang w:val="en-US" w:eastAsia="zh-CN"/>
        </w:rPr>
        <w:t>改变</w:t>
      </w:r>
      <w:r>
        <w:rPr>
          <w:rFonts w:hint="eastAsia" w:ascii="仿宋_GB2312" w:hAnsi="宋体" w:eastAsia="仿宋_GB2312"/>
          <w:color w:val="000000" w:themeColor="text1"/>
          <w:spacing w:val="0"/>
          <w:sz w:val="24"/>
          <w:highlight w:val="none"/>
          <w14:textFill>
            <w14:solidFill>
              <w14:schemeClr w14:val="tx1"/>
            </w14:solidFill>
          </w14:textFill>
        </w:rPr>
        <w:t>用途</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乙方</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须</w:t>
      </w:r>
      <w:r>
        <w:rPr>
          <w:rFonts w:hint="eastAsia" w:ascii="仿宋_GB2312" w:hAnsi="宋体" w:eastAsia="仿宋_GB2312"/>
          <w:color w:val="000000" w:themeColor="text1"/>
          <w:spacing w:val="0"/>
          <w:sz w:val="24"/>
          <w:highlight w:val="none"/>
          <w14:textFill>
            <w14:solidFill>
              <w14:schemeClr w14:val="tx1"/>
            </w14:solidFill>
          </w14:textFill>
        </w:rPr>
        <w:t>遵守国家及地方</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对该类用途资产在</w:t>
      </w:r>
      <w:r>
        <w:rPr>
          <w:rFonts w:hint="eastAsia" w:ascii="仿宋_GB2312" w:hAnsi="宋体" w:eastAsia="仿宋_GB2312"/>
          <w:color w:val="000000" w:themeColor="text1"/>
          <w:spacing w:val="0"/>
          <w:sz w:val="24"/>
          <w:highlight w:val="none"/>
          <w14:textFill>
            <w14:solidFill>
              <w14:schemeClr w14:val="tx1"/>
            </w14:solidFill>
          </w14:textFill>
        </w:rPr>
        <w:t>使用和物业管理</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方面</w:t>
      </w:r>
      <w:r>
        <w:rPr>
          <w:rFonts w:hint="eastAsia" w:ascii="仿宋_GB2312" w:hAnsi="宋体" w:eastAsia="仿宋_GB2312"/>
          <w:color w:val="000000" w:themeColor="text1"/>
          <w:spacing w:val="0"/>
          <w:sz w:val="24"/>
          <w:highlight w:val="none"/>
          <w14:textFill>
            <w14:solidFill>
              <w14:schemeClr w14:val="tx1"/>
            </w14:solidFill>
          </w14:textFill>
        </w:rPr>
        <w:t>的规定</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754B1C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3.2. </w:t>
      </w:r>
      <w:r>
        <w:rPr>
          <w:rFonts w:hint="eastAsia" w:ascii="仿宋_GB2312" w:hAnsi="宋体" w:eastAsia="仿宋_GB2312"/>
          <w:color w:val="000000" w:themeColor="text1"/>
          <w:spacing w:val="0"/>
          <w:sz w:val="24"/>
          <w:highlight w:val="none"/>
          <w14:textFill>
            <w14:solidFill>
              <w14:schemeClr w14:val="tx1"/>
            </w14:solidFill>
          </w14:textFill>
        </w:rPr>
        <w:t>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的使用人只限于本合同的乙方</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未经甲方书面同意，乙方不得转租。</w:t>
      </w:r>
    </w:p>
    <w:p w14:paraId="1A24D6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3.3. 乙方</w:t>
      </w:r>
      <w:r>
        <w:rPr>
          <w:rFonts w:hint="eastAsia" w:ascii="仿宋_GB2312" w:hAnsi="宋体" w:eastAsia="仿宋_GB2312"/>
          <w:color w:val="000000" w:themeColor="text1"/>
          <w:spacing w:val="0"/>
          <w:sz w:val="24"/>
          <w:highlight w:val="none"/>
          <w14:textFill>
            <w14:solidFill>
              <w14:schemeClr w14:val="tx1"/>
            </w14:solidFill>
          </w14:textFill>
        </w:rPr>
        <w:t>在租赁期内未征得甲方书面同意且按规定需有关</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单位</w:t>
      </w:r>
      <w:r>
        <w:rPr>
          <w:rFonts w:hint="eastAsia" w:ascii="仿宋_GB2312" w:hAnsi="宋体" w:eastAsia="仿宋_GB2312"/>
          <w:color w:val="000000" w:themeColor="text1"/>
          <w:spacing w:val="0"/>
          <w:sz w:val="24"/>
          <w:highlight w:val="none"/>
          <w14:textFill>
            <w14:solidFill>
              <w14:schemeClr w14:val="tx1"/>
            </w14:solidFill>
          </w14:textFill>
        </w:rPr>
        <w:t>审批而未</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获批准</w:t>
      </w:r>
      <w:r>
        <w:rPr>
          <w:rFonts w:hint="eastAsia" w:ascii="仿宋_GB2312" w:hAnsi="宋体" w:eastAsia="仿宋_GB2312"/>
          <w:color w:val="000000" w:themeColor="text1"/>
          <w:spacing w:val="0"/>
          <w:sz w:val="24"/>
          <w:highlight w:val="none"/>
          <w14:textFill>
            <w14:solidFill>
              <w14:schemeClr w14:val="tx1"/>
            </w14:solidFill>
          </w14:textFill>
        </w:rPr>
        <w:t>前</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不得擅自改动租赁资产的建筑主体、建筑外观、承重结构和拆改涉及消防、安全相关的设施设备；不得私接乱搭违章建筑；不得损害其他承租人和使用人的合法权益。</w:t>
      </w:r>
    </w:p>
    <w:p w14:paraId="19DD4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themeColor="text1"/>
          <w:spacing w:val="0"/>
          <w:sz w:val="24"/>
          <w:highlight w:val="none"/>
          <w14:textFill>
            <w14:solidFill>
              <w14:schemeClr w14:val="tx1"/>
            </w14:solidFill>
          </w14:textFill>
        </w:rPr>
      </w:pPr>
    </w:p>
    <w:p w14:paraId="4C0A5A1F">
      <w:pPr>
        <w:keepNext w:val="0"/>
        <w:keepLines w:val="0"/>
        <w:pageBreakBefore w:val="0"/>
        <w:widowControl w:val="0"/>
        <w:tabs>
          <w:tab w:val="left" w:pos="8820"/>
        </w:tabs>
        <w:kinsoku/>
        <w:wordWrap/>
        <w:overflowPunct/>
        <w:topLinePunct w:val="0"/>
        <w:autoSpaceDE/>
        <w:autoSpaceDN/>
        <w:bidi w:val="0"/>
        <w:adjustRightInd/>
        <w:snapToGrid/>
        <w:spacing w:line="440" w:lineRule="exact"/>
        <w:textAlignment w:val="auto"/>
        <w:rPr>
          <w:rFonts w:hint="default" w:ascii="黑体" w:hAnsi="黑体" w:eastAsia="黑体" w:cs="黑体"/>
          <w:color w:val="000000" w:themeColor="text1"/>
          <w:spacing w:val="0"/>
          <w:sz w:val="24"/>
          <w:highlight w:val="none"/>
          <w:lang w:val="en-US" w:eastAsia="zh-CN"/>
          <w14:textFill>
            <w14:solidFill>
              <w14:schemeClr w14:val="tx1"/>
            </w14:solidFill>
          </w14:textFill>
        </w:rPr>
      </w:pPr>
      <w:r>
        <w:rPr>
          <w:rFonts w:hint="eastAsia" w:ascii="黑体" w:hAnsi="黑体" w:eastAsia="黑体" w:cs="黑体"/>
          <w:color w:val="000000" w:themeColor="text1"/>
          <w:spacing w:val="0"/>
          <w:sz w:val="24"/>
          <w:highlight w:val="none"/>
          <w14:textFill>
            <w14:solidFill>
              <w14:schemeClr w14:val="tx1"/>
            </w14:solidFill>
          </w14:textFill>
        </w:rPr>
        <w:t>第</w:t>
      </w:r>
      <w:r>
        <w:rPr>
          <w:rFonts w:hint="eastAsia" w:ascii="黑体" w:hAnsi="黑体" w:eastAsia="黑体" w:cs="黑体"/>
          <w:color w:val="000000" w:themeColor="text1"/>
          <w:spacing w:val="0"/>
          <w:sz w:val="24"/>
          <w:highlight w:val="none"/>
          <w:lang w:val="en-US" w:eastAsia="zh-CN"/>
          <w14:textFill>
            <w14:solidFill>
              <w14:schemeClr w14:val="tx1"/>
            </w14:solidFill>
          </w14:textFill>
        </w:rPr>
        <w:t>四</w:t>
      </w:r>
      <w:r>
        <w:rPr>
          <w:rFonts w:hint="eastAsia" w:ascii="黑体" w:hAnsi="黑体" w:eastAsia="黑体" w:cs="黑体"/>
          <w:color w:val="000000" w:themeColor="text1"/>
          <w:spacing w:val="0"/>
          <w:sz w:val="24"/>
          <w:highlight w:val="none"/>
          <w14:textFill>
            <w14:solidFill>
              <w14:schemeClr w14:val="tx1"/>
            </w14:solidFill>
          </w14:textFill>
        </w:rPr>
        <w:t xml:space="preserve">条 </w:t>
      </w:r>
      <w:r>
        <w:rPr>
          <w:rFonts w:hint="eastAsia" w:ascii="黑体" w:hAnsi="黑体" w:eastAsia="黑体" w:cs="黑体"/>
          <w:color w:val="000000" w:themeColor="text1"/>
          <w:spacing w:val="0"/>
          <w:sz w:val="24"/>
          <w:highlight w:val="none"/>
          <w:lang w:val="en-US" w:eastAsia="zh-CN"/>
          <w14:textFill>
            <w14:solidFill>
              <w14:schemeClr w14:val="tx1"/>
            </w14:solidFill>
          </w14:textFill>
        </w:rPr>
        <w:t>续租条件</w:t>
      </w:r>
    </w:p>
    <w:p w14:paraId="176D5CA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4.1. 本合同为</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（首次租赁/续租）合同，此前乙方已累计承租</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年。</w:t>
      </w:r>
    </w:p>
    <w:p w14:paraId="2687E57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4.2. 期满如需续租的，乙方应在租赁期限届满前</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，提前45日向甲方书面提出续租申请，否则视为放弃续租；甲方收到乙方书面续租申请后，</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经甲方履行内部决策程序审核批准后，双方另行签订租赁合同。</w:t>
      </w:r>
    </w:p>
    <w:p w14:paraId="3663600F">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4.3. 乙方承诺，已完全知悉《关于印发〈内江市市属国有企业资产出租管理办法〉的通知》（内府办发〔2025〕5号）有关规定：</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续租期限不得超过原出租期限，且累计承租期限原则上不得超过10年；续租价格不得低于最新评估结果；</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承租人不接受续租条件的，视为放弃续租</w:t>
      </w:r>
      <w:r>
        <w:rPr>
          <w:rFonts w:hint="eastAsia" w:ascii="仿宋_GB2312" w:hAnsi="仿宋_GB2312" w:eastAsia="仿宋_GB2312" w:cs="仿宋_GB2312"/>
          <w:color w:val="000000" w:themeColor="text1"/>
          <w:spacing w:val="0"/>
          <w:sz w:val="24"/>
          <w:highlight w:val="none"/>
          <w:u w:val="none"/>
          <w14:textFill>
            <w14:solidFill>
              <w14:schemeClr w14:val="tx1"/>
            </w14:solidFill>
          </w14:textFill>
        </w:rPr>
        <w:t>。</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若政策变化，以变化后政策为准。</w:t>
      </w:r>
    </w:p>
    <w:p w14:paraId="1DDCA6DF">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4.4. 续租合同的</w:t>
      </w:r>
      <w:r>
        <w:rPr>
          <w:rFonts w:hint="eastAsia" w:ascii="仿宋_GB2312" w:hAnsi="仿宋_GB2312" w:eastAsia="仿宋_GB2312" w:cs="仿宋_GB2312"/>
          <w:color w:val="000000" w:themeColor="text1"/>
          <w:spacing w:val="0"/>
          <w:sz w:val="24"/>
          <w:highlight w:val="none"/>
          <w:u w:val="none"/>
          <w14:textFill>
            <w14:solidFill>
              <w14:schemeClr w14:val="tx1"/>
            </w14:solidFill>
          </w14:textFill>
        </w:rPr>
        <w:t>租金</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递增规则与本合同一致。</w:t>
      </w:r>
    </w:p>
    <w:p w14:paraId="71C1075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4.5. 乙方累计承租满10年或放弃续租的，甲方有权对资产进行重新招租。</w:t>
      </w:r>
    </w:p>
    <w:p w14:paraId="257885E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pPr>
    </w:p>
    <w:p w14:paraId="24A3C81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olor w:val="000000" w:themeColor="text1"/>
          <w:spacing w:val="0"/>
          <w:sz w:val="24"/>
          <w:highlight w:val="none"/>
          <w:lang w:val="en-US" w:eastAsia="zh-CN"/>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五</w:t>
      </w:r>
      <w:r>
        <w:rPr>
          <w:rFonts w:hint="eastAsia" w:ascii="黑体" w:hAnsi="黑体" w:eastAsia="黑体"/>
          <w:color w:val="000000" w:themeColor="text1"/>
          <w:spacing w:val="0"/>
          <w:sz w:val="24"/>
          <w:highlight w:val="none"/>
          <w14:textFill>
            <w14:solidFill>
              <w14:schemeClr w14:val="tx1"/>
            </w14:solidFill>
          </w14:textFill>
        </w:rPr>
        <w:t>条 租赁期限</w:t>
      </w:r>
      <w:r>
        <w:rPr>
          <w:rFonts w:hint="eastAsia" w:ascii="黑体" w:hAnsi="黑体" w:eastAsia="黑体"/>
          <w:color w:val="000000" w:themeColor="text1"/>
          <w:spacing w:val="0"/>
          <w:sz w:val="24"/>
          <w:highlight w:val="none"/>
          <w:lang w:val="en-US" w:eastAsia="zh-CN"/>
          <w14:textFill>
            <w14:solidFill>
              <w14:schemeClr w14:val="tx1"/>
            </w14:solidFill>
          </w14:textFill>
        </w:rPr>
        <w:t>及免租期</w:t>
      </w:r>
    </w:p>
    <w:p w14:paraId="338279DC">
      <w:pPr>
        <w:keepNext w:val="0"/>
        <w:keepLines w:val="0"/>
        <w:pageBreakBefore w:val="0"/>
        <w:widowControl w:val="0"/>
        <w:kinsoku/>
        <w:wordWrap/>
        <w:overflowPunct/>
        <w:topLinePunct w:val="0"/>
        <w:autoSpaceDE/>
        <w:autoSpaceDN/>
        <w:bidi w:val="0"/>
        <w:adjustRightInd/>
        <w:snapToGrid/>
        <w:spacing w:line="440" w:lineRule="exact"/>
        <w:ind w:right="31" w:rightChars="15" w:firstLine="480" w:firstLineChars="200"/>
        <w:textAlignment w:val="auto"/>
        <w:rPr>
          <w:rFonts w:hint="eastAsia" w:ascii="仿宋_GB2312" w:hAnsi="宋体" w:eastAsia="仿宋_GB2312"/>
          <w:color w:val="0000FF"/>
          <w:spacing w:val="0"/>
          <w:sz w:val="24"/>
          <w:highlight w:val="none"/>
          <w:lang w:eastAsia="zh-CN"/>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5.1.</w:t>
      </w:r>
      <w:r>
        <w:rPr>
          <w:rFonts w:hint="eastAsia" w:ascii="仿宋_GB2312" w:hAnsi="宋体" w:eastAsia="仿宋_GB2312"/>
          <w:color w:val="0000FF"/>
          <w:spacing w:val="0"/>
          <w:sz w:val="24"/>
          <w:highlight w:val="none"/>
          <w:lang w:val="en-US" w:eastAsia="zh-CN"/>
        </w:rPr>
        <w:t xml:space="preserve"> </w:t>
      </w:r>
      <w:r>
        <w:rPr>
          <w:rFonts w:hint="eastAsia" w:ascii="仿宋_GB2312" w:hAnsi="宋体" w:eastAsia="仿宋_GB2312"/>
          <w:color w:val="auto"/>
          <w:spacing w:val="0"/>
          <w:sz w:val="24"/>
          <w:highlight w:val="none"/>
        </w:rPr>
        <w:t>租赁期限为</w:t>
      </w:r>
      <w:r>
        <w:rPr>
          <w:rFonts w:hint="eastAsia" w:ascii="仿宋_GB2312" w:hAnsi="宋体" w:eastAsia="仿宋_GB2312"/>
          <w:color w:val="auto"/>
          <w:spacing w:val="0"/>
          <w:sz w:val="24"/>
          <w:highlight w:val="none"/>
          <w:u w:val="single"/>
          <w:lang w:val="en-US" w:eastAsia="zh-CN"/>
        </w:rPr>
        <w:t xml:space="preserve">  年</w:t>
      </w:r>
      <w:r>
        <w:rPr>
          <w:rFonts w:hint="eastAsia" w:ascii="仿宋_GB2312" w:hAnsi="宋体" w:eastAsia="仿宋_GB2312"/>
          <w:color w:val="auto"/>
          <w:spacing w:val="0"/>
          <w:sz w:val="24"/>
          <w:highlight w:val="none"/>
        </w:rPr>
        <w:t>，自</w:t>
      </w:r>
      <w:bookmarkStart w:id="0" w:name="_Hlk97538297"/>
      <w:r>
        <w:rPr>
          <w:rFonts w:hint="eastAsia" w:ascii="仿宋_GB2312" w:hAnsi="宋体" w:eastAsia="仿宋_GB2312"/>
          <w:color w:val="auto"/>
          <w:spacing w:val="0"/>
          <w:sz w:val="24"/>
          <w:highlight w:val="none"/>
          <w:u w:val="single"/>
          <w:lang w:val="en-US" w:eastAsia="zh-CN"/>
        </w:rPr>
        <w:t xml:space="preserve">   </w:t>
      </w:r>
      <w:r>
        <w:rPr>
          <w:rFonts w:hint="eastAsia" w:ascii="仿宋_GB2312" w:hAnsi="宋体" w:eastAsia="仿宋_GB2312"/>
          <w:color w:val="auto"/>
          <w:spacing w:val="0"/>
          <w:sz w:val="24"/>
          <w:highlight w:val="none"/>
        </w:rPr>
        <w:t>年</w:t>
      </w:r>
      <w:r>
        <w:rPr>
          <w:rFonts w:hint="eastAsia" w:ascii="仿宋_GB2312" w:hAnsi="宋体" w:eastAsia="仿宋_GB2312"/>
          <w:color w:val="auto"/>
          <w:spacing w:val="0"/>
          <w:sz w:val="24"/>
          <w:highlight w:val="none"/>
          <w:u w:val="single"/>
          <w:lang w:val="en-US" w:eastAsia="zh-CN"/>
        </w:rPr>
        <w:t xml:space="preserve">   </w:t>
      </w:r>
      <w:r>
        <w:rPr>
          <w:rFonts w:hint="eastAsia" w:ascii="仿宋_GB2312" w:hAnsi="宋体" w:eastAsia="仿宋_GB2312"/>
          <w:color w:val="auto"/>
          <w:spacing w:val="0"/>
          <w:sz w:val="24"/>
          <w:highlight w:val="none"/>
        </w:rPr>
        <w:t>月</w:t>
      </w:r>
      <w:r>
        <w:rPr>
          <w:rFonts w:hint="eastAsia" w:ascii="仿宋_GB2312" w:hAnsi="宋体" w:eastAsia="仿宋_GB2312"/>
          <w:color w:val="auto"/>
          <w:spacing w:val="0"/>
          <w:sz w:val="24"/>
          <w:highlight w:val="none"/>
          <w:u w:val="single"/>
          <w:lang w:val="en-US" w:eastAsia="zh-CN"/>
        </w:rPr>
        <w:t xml:space="preserve">   </w:t>
      </w:r>
      <w:r>
        <w:rPr>
          <w:rFonts w:hint="eastAsia" w:ascii="仿宋_GB2312" w:hAnsi="宋体" w:eastAsia="仿宋_GB2312"/>
          <w:color w:val="auto"/>
          <w:spacing w:val="0"/>
          <w:sz w:val="24"/>
          <w:highlight w:val="none"/>
        </w:rPr>
        <w:t>日起至</w:t>
      </w:r>
      <w:r>
        <w:rPr>
          <w:rFonts w:hint="eastAsia" w:ascii="仿宋_GB2312" w:hAnsi="宋体" w:eastAsia="仿宋_GB2312"/>
          <w:color w:val="auto"/>
          <w:spacing w:val="0"/>
          <w:sz w:val="24"/>
          <w:highlight w:val="none"/>
          <w:u w:val="single"/>
          <w:lang w:val="en-US" w:eastAsia="zh-CN"/>
        </w:rPr>
        <w:t xml:space="preserve">   </w:t>
      </w:r>
      <w:r>
        <w:rPr>
          <w:rFonts w:hint="eastAsia" w:ascii="仿宋_GB2312" w:hAnsi="宋体" w:eastAsia="仿宋_GB2312"/>
          <w:color w:val="auto"/>
          <w:spacing w:val="0"/>
          <w:sz w:val="24"/>
          <w:highlight w:val="none"/>
        </w:rPr>
        <w:t>年</w:t>
      </w:r>
      <w:r>
        <w:rPr>
          <w:rFonts w:hint="eastAsia" w:ascii="仿宋_GB2312" w:hAnsi="宋体" w:eastAsia="仿宋_GB2312"/>
          <w:color w:val="auto"/>
          <w:spacing w:val="0"/>
          <w:sz w:val="24"/>
          <w:highlight w:val="none"/>
          <w:u w:val="single"/>
          <w:lang w:val="en-US" w:eastAsia="zh-CN"/>
        </w:rPr>
        <w:t xml:space="preserve">   </w:t>
      </w:r>
      <w:r>
        <w:rPr>
          <w:rFonts w:hint="eastAsia" w:ascii="仿宋_GB2312" w:hAnsi="宋体" w:eastAsia="仿宋_GB2312"/>
          <w:color w:val="auto"/>
          <w:spacing w:val="0"/>
          <w:sz w:val="24"/>
          <w:highlight w:val="none"/>
        </w:rPr>
        <w:t>月</w:t>
      </w:r>
      <w:r>
        <w:rPr>
          <w:rFonts w:hint="eastAsia" w:ascii="仿宋_GB2312" w:hAnsi="宋体" w:eastAsia="仿宋_GB2312"/>
          <w:color w:val="auto"/>
          <w:spacing w:val="0"/>
          <w:sz w:val="24"/>
          <w:highlight w:val="none"/>
          <w:u w:val="single"/>
          <w:lang w:val="en-US" w:eastAsia="zh-CN"/>
        </w:rPr>
        <w:t xml:space="preserve">    </w:t>
      </w:r>
      <w:r>
        <w:rPr>
          <w:rFonts w:hint="eastAsia" w:ascii="仿宋_GB2312" w:hAnsi="宋体" w:eastAsia="仿宋_GB2312"/>
          <w:color w:val="auto"/>
          <w:spacing w:val="0"/>
          <w:sz w:val="24"/>
          <w:highlight w:val="none"/>
        </w:rPr>
        <w:t>日止</w:t>
      </w:r>
      <w:bookmarkEnd w:id="0"/>
      <w:r>
        <w:rPr>
          <w:rFonts w:hint="eastAsia" w:ascii="仿宋_GB2312" w:hAnsi="宋体" w:eastAsia="仿宋_GB2312"/>
          <w:color w:val="auto"/>
          <w:spacing w:val="0"/>
          <w:sz w:val="24"/>
          <w:highlight w:val="none"/>
          <w:lang w:eastAsia="zh-CN"/>
        </w:rPr>
        <w:t>。</w:t>
      </w:r>
    </w:p>
    <w:p w14:paraId="2BEB3CB3">
      <w:pPr>
        <w:keepNext w:val="0"/>
        <w:keepLines w:val="0"/>
        <w:pageBreakBefore w:val="0"/>
        <w:widowControl w:val="0"/>
        <w:kinsoku/>
        <w:wordWrap/>
        <w:overflowPunct/>
        <w:topLinePunct w:val="0"/>
        <w:autoSpaceDE/>
        <w:autoSpaceDN/>
        <w:bidi w:val="0"/>
        <w:adjustRightInd/>
        <w:snapToGrid/>
        <w:spacing w:line="440" w:lineRule="exact"/>
        <w:ind w:right="31" w:rightChars="15" w:firstLine="480" w:firstLineChars="200"/>
        <w:textAlignment w:val="auto"/>
        <w:rPr>
          <w:rFonts w:hint="default"/>
          <w:lang w:val="en-US" w:eastAsia="zh-CN"/>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5.2. 本合同</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（有/无）</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免租期，</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乙方不需支付免租期期间的租金，但仍需支付免租期期间的其他费用。</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免租期时段为：自</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月</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日至</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月</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日。</w:t>
      </w:r>
    </w:p>
    <w:p w14:paraId="4EC57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2E82C2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lang w:val="en-US" w:eastAsia="zh-CN"/>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六</w:t>
      </w:r>
      <w:r>
        <w:rPr>
          <w:rFonts w:hint="eastAsia" w:ascii="黑体" w:hAnsi="黑体" w:eastAsia="黑体"/>
          <w:color w:val="000000" w:themeColor="text1"/>
          <w:spacing w:val="0"/>
          <w:sz w:val="24"/>
          <w:highlight w:val="none"/>
          <w14:textFill>
            <w14:solidFill>
              <w14:schemeClr w14:val="tx1"/>
            </w14:solidFill>
          </w14:textFill>
        </w:rPr>
        <w:t>条 租金</w:t>
      </w:r>
    </w:p>
    <w:p w14:paraId="1278F5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pacing w:val="0"/>
          <w:sz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 xml:space="preserve">6.1. </w:t>
      </w:r>
      <w:r>
        <w:rPr>
          <w:rFonts w:hint="eastAsia" w:ascii="仿宋_GB2312" w:hAnsi="仿宋_GB2312" w:eastAsia="仿宋_GB2312" w:cs="仿宋_GB2312"/>
          <w:color w:val="000000" w:themeColor="text1"/>
          <w:spacing w:val="0"/>
          <w:sz w:val="24"/>
          <w:highlight w:val="none"/>
          <w14:textFill>
            <w14:solidFill>
              <w14:schemeClr w14:val="tx1"/>
            </w14:solidFill>
          </w14:textFill>
        </w:rPr>
        <w:t>租金递增</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规则：本合同</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有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（有/无）</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租金递增率，</w:t>
      </w:r>
      <w:r>
        <w:rPr>
          <w:rFonts w:hint="eastAsia" w:ascii="仿宋_GB2312" w:hAnsi="仿宋_GB2312" w:eastAsia="仿宋_GB2312" w:cs="仿宋_GB2312"/>
          <w:color w:val="000000" w:themeColor="text1"/>
          <w:spacing w:val="0"/>
          <w:sz w:val="24"/>
          <w:highlight w:val="none"/>
          <w14:textFill>
            <w14:solidFill>
              <w14:schemeClr w14:val="tx1"/>
            </w14:solidFill>
          </w14:textFill>
        </w:rPr>
        <w:t>本合同签订后从</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租期起始</w:t>
      </w:r>
      <w:r>
        <w:rPr>
          <w:rFonts w:hint="eastAsia" w:ascii="仿宋_GB2312" w:hAnsi="仿宋_GB2312" w:eastAsia="仿宋_GB2312" w:cs="仿宋_GB2312"/>
          <w:color w:val="000000" w:themeColor="text1"/>
          <w:spacing w:val="0"/>
          <w:sz w:val="24"/>
          <w:highlight w:val="none"/>
          <w14:textFill>
            <w14:solidFill>
              <w14:schemeClr w14:val="tx1"/>
            </w14:solidFill>
          </w14:textFill>
        </w:rPr>
        <w:t>日开始第</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2 </w:t>
      </w:r>
      <w:r>
        <w:rPr>
          <w:rFonts w:hint="eastAsia" w:ascii="仿宋_GB2312" w:hAnsi="仿宋_GB2312" w:eastAsia="仿宋_GB2312" w:cs="仿宋_GB2312"/>
          <w:color w:val="000000" w:themeColor="text1"/>
          <w:spacing w:val="0"/>
          <w:sz w:val="24"/>
          <w:highlight w:val="none"/>
          <w14:textFill>
            <w14:solidFill>
              <w14:schemeClr w14:val="tx1"/>
            </w14:solidFill>
          </w14:textFill>
        </w:rPr>
        <w:t>年起</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每1 </w:t>
      </w:r>
      <w:r>
        <w:rPr>
          <w:rFonts w:hint="eastAsia" w:ascii="仿宋_GB2312" w:hAnsi="仿宋_GB2312" w:eastAsia="仿宋_GB2312" w:cs="仿宋_GB2312"/>
          <w:color w:val="000000" w:themeColor="text1"/>
          <w:spacing w:val="0"/>
          <w:sz w:val="24"/>
          <w:highlight w:val="none"/>
          <w14:textFill>
            <w14:solidFill>
              <w14:schemeClr w14:val="tx1"/>
            </w14:solidFill>
          </w14:textFill>
        </w:rPr>
        <w:t>年按</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pacing w:val="0"/>
          <w:sz w:val="24"/>
          <w:highlight w:val="none"/>
          <w14:textFill>
            <w14:solidFill>
              <w14:schemeClr w14:val="tx1"/>
            </w14:solidFill>
          </w14:textFill>
        </w:rPr>
        <w:t>进行递增。</w:t>
      </w:r>
    </w:p>
    <w:p w14:paraId="5AE349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6.2. 合同首年租金为</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23 </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元/月/平方米，</w:t>
      </w:r>
      <w:r>
        <w:rPr>
          <w:rFonts w:hint="eastAsia" w:ascii="仿宋_GB2312" w:hAnsi="宋体" w:eastAsia="仿宋_GB2312"/>
          <w:color w:val="000000" w:themeColor="text1"/>
          <w:spacing w:val="0"/>
          <w:sz w:val="24"/>
          <w:highlight w:val="none"/>
          <w14:textFill>
            <w14:solidFill>
              <w14:schemeClr w14:val="tx1"/>
            </w14:solidFill>
          </w14:textFill>
        </w:rPr>
        <w:t>租赁期</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内各期间租金标准如下：</w:t>
      </w:r>
    </w:p>
    <w:tbl>
      <w:tblPr>
        <w:tblStyle w:val="13"/>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8"/>
        <w:gridCol w:w="3750"/>
      </w:tblGrid>
      <w:tr w14:paraId="200D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8" w:type="dxa"/>
            <w:vAlign w:val="center"/>
          </w:tcPr>
          <w:p w14:paraId="73997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000000" w:themeColor="text1"/>
                <w:sz w:val="24"/>
                <w:highlight w:val="none"/>
                <w:vertAlign w:val="baseline"/>
                <w:lang w:val="en-US" w:eastAsia="zh-CN"/>
                <w14:textFill>
                  <w14:solidFill>
                    <w14:schemeClr w14:val="tx1"/>
                  </w14:solidFill>
                </w14:textFill>
              </w:rPr>
            </w:pPr>
            <w:r>
              <w:rPr>
                <w:rFonts w:hint="eastAsia" w:ascii="仿宋_GB2312" w:hAnsi="宋体" w:eastAsia="仿宋_GB2312"/>
                <w:color w:val="000000" w:themeColor="text1"/>
                <w:sz w:val="24"/>
                <w:highlight w:val="none"/>
                <w:vertAlign w:val="baseline"/>
                <w:lang w:val="en-US" w:eastAsia="zh-CN"/>
                <w14:textFill>
                  <w14:solidFill>
                    <w14:schemeClr w14:val="tx1"/>
                  </w14:solidFill>
                </w14:textFill>
              </w:rPr>
              <w:t>起止租赁时间</w:t>
            </w:r>
          </w:p>
        </w:tc>
        <w:tc>
          <w:tcPr>
            <w:tcW w:w="3750" w:type="dxa"/>
            <w:vAlign w:val="center"/>
          </w:tcPr>
          <w:p w14:paraId="3F97F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000000" w:themeColor="text1"/>
                <w:sz w:val="24"/>
                <w:highlight w:val="none"/>
                <w:vertAlign w:val="baseline"/>
                <w:lang w:val="en-US" w:eastAsia="zh-CN"/>
                <w14:textFill>
                  <w14:solidFill>
                    <w14:schemeClr w14:val="tx1"/>
                  </w14:solidFill>
                </w14:textFill>
              </w:rPr>
            </w:pPr>
            <w:r>
              <w:rPr>
                <w:rFonts w:hint="eastAsia" w:ascii="仿宋_GB2312" w:hAnsi="宋体" w:eastAsia="仿宋_GB2312"/>
                <w:color w:val="000000" w:themeColor="text1"/>
                <w:sz w:val="24"/>
                <w:highlight w:val="none"/>
                <w:vertAlign w:val="baseline"/>
                <w:lang w:val="en-US" w:eastAsia="zh-CN"/>
                <w14:textFill>
                  <w14:solidFill>
                    <w14:schemeClr w14:val="tx1"/>
                  </w14:solidFill>
                </w14:textFill>
              </w:rPr>
              <w:t>对应租金（</w:t>
            </w:r>
            <w:r>
              <w:rPr>
                <w:rFonts w:hint="eastAsia" w:ascii="仿宋_GB2312" w:hAnsi="宋体" w:eastAsia="仿宋_GB2312"/>
                <w:color w:val="auto"/>
                <w:sz w:val="24"/>
              </w:rPr>
              <w:t>元</w:t>
            </w:r>
            <w:r>
              <w:rPr>
                <w:rFonts w:hint="eastAsia" w:ascii="仿宋_GB2312" w:hAnsi="宋体" w:eastAsia="仿宋_GB2312"/>
                <w:color w:val="000000" w:themeColor="text1"/>
                <w:sz w:val="24"/>
                <w:highlight w:val="none"/>
                <w:vertAlign w:val="baseline"/>
                <w:lang w:val="en-US" w:eastAsia="zh-CN"/>
                <w14:textFill>
                  <w14:solidFill>
                    <w14:schemeClr w14:val="tx1"/>
                  </w14:solidFill>
                </w14:textFill>
              </w:rPr>
              <w:t>）</w:t>
            </w:r>
          </w:p>
        </w:tc>
      </w:tr>
      <w:tr w14:paraId="70F3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8" w:type="dxa"/>
            <w:vAlign w:val="center"/>
          </w:tcPr>
          <w:p w14:paraId="62C84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000000" w:themeColor="text1"/>
                <w:sz w:val="24"/>
                <w:highlight w:val="none"/>
                <w:vertAlign w:val="baseline"/>
                <w:lang w:val="en-US" w:eastAsia="zh-CN"/>
                <w14:textFill>
                  <w14:solidFill>
                    <w14:schemeClr w14:val="tx1"/>
                  </w14:solidFill>
                </w14:textFill>
              </w:rPr>
            </w:pPr>
            <w:r>
              <w:rPr>
                <w:rFonts w:hint="eastAsia" w:ascii="仿宋_GB2312" w:hAnsi="宋体" w:eastAsia="仿宋_GB2312"/>
                <w:color w:val="000000" w:themeColor="text1"/>
                <w:sz w:val="24"/>
                <w:highlight w:val="none"/>
                <w:u w:val="none"/>
                <w:lang w:val="en-US" w:eastAsia="zh-CN"/>
                <w14:textFill>
                  <w14:solidFill>
                    <w14:schemeClr w14:val="tx1"/>
                  </w14:solidFill>
                </w14:textFill>
              </w:rPr>
              <w:t xml:space="preserve"> </w:t>
            </w:r>
          </w:p>
        </w:tc>
        <w:tc>
          <w:tcPr>
            <w:tcW w:w="3750" w:type="dxa"/>
            <w:vAlign w:val="center"/>
          </w:tcPr>
          <w:p w14:paraId="1091EF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auto"/>
                <w:sz w:val="24"/>
                <w:highlight w:val="none"/>
                <w:vertAlign w:val="baseline"/>
                <w:lang w:val="en-US" w:eastAsia="zh-CN"/>
              </w:rPr>
            </w:pPr>
            <w:r>
              <w:rPr>
                <w:rFonts w:hint="eastAsia" w:ascii="仿宋_GB2312" w:hAnsi="宋体" w:eastAsia="仿宋_GB2312"/>
                <w:color w:val="auto"/>
                <w:sz w:val="24"/>
                <w:highlight w:val="none"/>
                <w:vertAlign w:val="baseline"/>
                <w:lang w:val="en-US" w:eastAsia="zh-CN"/>
              </w:rPr>
              <w:t xml:space="preserve"> </w:t>
            </w:r>
          </w:p>
        </w:tc>
      </w:tr>
      <w:tr w14:paraId="516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8" w:type="dxa"/>
            <w:vAlign w:val="center"/>
          </w:tcPr>
          <w:p w14:paraId="72767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themeColor="text1"/>
                <w:sz w:val="24"/>
                <w:highlight w:val="none"/>
                <w:u w:val="none"/>
                <w:lang w:val="en-US" w:eastAsia="zh-CN"/>
                <w14:textFill>
                  <w14:solidFill>
                    <w14:schemeClr w14:val="tx1"/>
                  </w14:solidFill>
                </w14:textFill>
              </w:rPr>
            </w:pPr>
            <w:r>
              <w:rPr>
                <w:rFonts w:hint="eastAsia" w:ascii="仿宋_GB2312" w:hAnsi="宋体" w:eastAsia="仿宋_GB2312"/>
                <w:color w:val="000000" w:themeColor="text1"/>
                <w:sz w:val="24"/>
                <w:highlight w:val="none"/>
                <w:u w:val="none"/>
                <w:lang w:val="en-US" w:eastAsia="zh-CN"/>
                <w14:textFill>
                  <w14:solidFill>
                    <w14:schemeClr w14:val="tx1"/>
                  </w14:solidFill>
                </w14:textFill>
              </w:rPr>
              <w:t xml:space="preserve"> </w:t>
            </w:r>
          </w:p>
        </w:tc>
        <w:tc>
          <w:tcPr>
            <w:tcW w:w="3750" w:type="dxa"/>
            <w:vAlign w:val="center"/>
          </w:tcPr>
          <w:p w14:paraId="5E957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auto"/>
                <w:sz w:val="24"/>
                <w:highlight w:val="none"/>
                <w:vertAlign w:val="baseline"/>
                <w:lang w:val="en-US" w:eastAsia="zh-CN"/>
              </w:rPr>
            </w:pPr>
            <w:r>
              <w:rPr>
                <w:rFonts w:hint="eastAsia" w:ascii="仿宋_GB2312" w:hAnsi="宋体" w:eastAsia="仿宋_GB2312"/>
                <w:color w:val="auto"/>
                <w:sz w:val="24"/>
                <w:highlight w:val="none"/>
                <w:vertAlign w:val="baseline"/>
                <w:lang w:val="en-US" w:eastAsia="zh-CN"/>
              </w:rPr>
              <w:t xml:space="preserve"> </w:t>
            </w:r>
          </w:p>
        </w:tc>
      </w:tr>
      <w:tr w14:paraId="2D31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8" w:type="dxa"/>
            <w:vAlign w:val="center"/>
          </w:tcPr>
          <w:p w14:paraId="3B9658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themeColor="text1"/>
                <w:sz w:val="24"/>
                <w:highlight w:val="none"/>
                <w:u w:val="none"/>
                <w:lang w:val="en-US" w:eastAsia="zh-CN"/>
                <w14:textFill>
                  <w14:solidFill>
                    <w14:schemeClr w14:val="tx1"/>
                  </w14:solidFill>
                </w14:textFill>
              </w:rPr>
            </w:pPr>
            <w:r>
              <w:rPr>
                <w:rFonts w:hint="eastAsia" w:ascii="仿宋_GB2312" w:hAnsi="宋体" w:eastAsia="仿宋_GB2312"/>
                <w:color w:val="000000" w:themeColor="text1"/>
                <w:sz w:val="24"/>
                <w:highlight w:val="none"/>
                <w:u w:val="none"/>
                <w:lang w:val="en-US" w:eastAsia="zh-CN"/>
                <w14:textFill>
                  <w14:solidFill>
                    <w14:schemeClr w14:val="tx1"/>
                  </w14:solidFill>
                </w14:textFill>
              </w:rPr>
              <w:t xml:space="preserve"> </w:t>
            </w:r>
          </w:p>
        </w:tc>
        <w:tc>
          <w:tcPr>
            <w:tcW w:w="3750" w:type="dxa"/>
            <w:vAlign w:val="center"/>
          </w:tcPr>
          <w:p w14:paraId="0DA2F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auto"/>
                <w:sz w:val="24"/>
                <w:highlight w:val="none"/>
                <w:vertAlign w:val="baseline"/>
                <w:lang w:val="en-US" w:eastAsia="zh-CN"/>
              </w:rPr>
            </w:pPr>
            <w:r>
              <w:rPr>
                <w:rFonts w:hint="eastAsia" w:ascii="仿宋_GB2312" w:hAnsi="宋体" w:eastAsia="仿宋_GB2312"/>
                <w:color w:val="auto"/>
                <w:sz w:val="24"/>
                <w:highlight w:val="none"/>
                <w:vertAlign w:val="baseline"/>
                <w:lang w:val="en-US" w:eastAsia="zh-CN"/>
              </w:rPr>
              <w:t xml:space="preserve"> </w:t>
            </w:r>
          </w:p>
        </w:tc>
      </w:tr>
      <w:tr w14:paraId="157A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8" w:type="dxa"/>
            <w:vAlign w:val="center"/>
          </w:tcPr>
          <w:p w14:paraId="0C945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themeColor="text1"/>
                <w:sz w:val="24"/>
                <w:highlight w:val="none"/>
                <w:u w:val="none"/>
                <w:lang w:val="en-US" w:eastAsia="zh-CN"/>
                <w14:textFill>
                  <w14:solidFill>
                    <w14:schemeClr w14:val="tx1"/>
                  </w14:solidFill>
                </w14:textFill>
              </w:rPr>
            </w:pPr>
            <w:r>
              <w:rPr>
                <w:rFonts w:hint="eastAsia" w:ascii="仿宋_GB2312" w:hAnsi="宋体" w:eastAsia="仿宋_GB2312"/>
                <w:color w:val="000000" w:themeColor="text1"/>
                <w:sz w:val="24"/>
                <w:highlight w:val="none"/>
                <w:u w:val="none"/>
                <w:lang w:val="en-US" w:eastAsia="zh-CN"/>
                <w14:textFill>
                  <w14:solidFill>
                    <w14:schemeClr w14:val="tx1"/>
                  </w14:solidFill>
                </w14:textFill>
              </w:rPr>
              <w:t xml:space="preserve"> </w:t>
            </w:r>
          </w:p>
        </w:tc>
        <w:tc>
          <w:tcPr>
            <w:tcW w:w="3750" w:type="dxa"/>
            <w:vAlign w:val="center"/>
          </w:tcPr>
          <w:p w14:paraId="2C68A6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auto"/>
                <w:sz w:val="24"/>
                <w:highlight w:val="none"/>
                <w:vertAlign w:val="baseline"/>
                <w:lang w:val="en-US" w:eastAsia="zh-CN"/>
              </w:rPr>
            </w:pPr>
            <w:r>
              <w:rPr>
                <w:rFonts w:hint="eastAsia" w:ascii="仿宋_GB2312" w:hAnsi="宋体" w:eastAsia="仿宋_GB2312"/>
                <w:color w:val="auto"/>
                <w:sz w:val="24"/>
                <w:highlight w:val="none"/>
                <w:vertAlign w:val="baseline"/>
                <w:lang w:val="en-US" w:eastAsia="zh-CN"/>
              </w:rPr>
              <w:t xml:space="preserve"> </w:t>
            </w:r>
          </w:p>
        </w:tc>
      </w:tr>
    </w:tbl>
    <w:p w14:paraId="7ADCD964">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仿宋_GB2312" w:hAnsi="宋体" w:eastAsia="仿宋_GB2312"/>
          <w:color w:val="000000" w:themeColor="text1"/>
          <w:sz w:val="24"/>
          <w:highlight w:val="none"/>
          <w:lang w:val="en-US" w:eastAsia="zh-CN"/>
          <w14:textFill>
            <w14:solidFill>
              <w14:schemeClr w14:val="tx1"/>
            </w14:solidFill>
          </w14:textFill>
        </w:rPr>
      </w:pPr>
    </w:p>
    <w:p w14:paraId="5BE078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6.3. 租金支付方式：按先交租金后使用租赁资产</w:t>
      </w:r>
      <w:r>
        <w:rPr>
          <w:rFonts w:hint="eastAsia" w:ascii="仿宋_GB2312" w:hAnsi="宋体" w:eastAsia="仿宋_GB2312"/>
          <w:color w:val="000000" w:themeColor="text1"/>
          <w:spacing w:val="0"/>
          <w:sz w:val="24"/>
          <w:highlight w:val="none"/>
          <w14:textFill>
            <w14:solidFill>
              <w14:schemeClr w14:val="tx1"/>
            </w14:solidFill>
          </w14:textFill>
        </w:rPr>
        <w:t>的原则，</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租金</w:t>
      </w:r>
      <w:r>
        <w:rPr>
          <w:rFonts w:hint="eastAsia" w:ascii="仿宋_GB2312" w:hAnsi="宋体" w:eastAsia="仿宋_GB2312"/>
          <w:color w:val="000000" w:themeColor="text1"/>
          <w:spacing w:val="0"/>
          <w:sz w:val="24"/>
          <w:highlight w:val="none"/>
          <w14:textFill>
            <w14:solidFill>
              <w14:schemeClr w14:val="tx1"/>
            </w14:solidFill>
          </w14:textFill>
        </w:rPr>
        <w:t>按</w:t>
      </w:r>
      <w:r>
        <w:rPr>
          <w:rFonts w:hint="eastAsia" w:ascii="仿宋_GB2312" w:hAnsi="宋体" w:eastAsia="仿宋_GB2312"/>
          <w:strike w:val="0"/>
          <w:dstrike w:val="0"/>
          <w:color w:val="000000" w:themeColor="text1"/>
          <w:spacing w:val="0"/>
          <w:sz w:val="24"/>
          <w:highlight w:val="none"/>
          <w:u w:val="none"/>
          <w14:textFill>
            <w14:solidFill>
              <w14:schemeClr w14:val="tx1"/>
            </w14:solidFill>
          </w14:textFill>
        </w:rPr>
        <w:t>每</w:t>
      </w:r>
      <w:r>
        <w:rPr>
          <w:rFonts w:hint="eastAsia" w:ascii="仿宋_GB2312" w:hAnsi="宋体" w:eastAsia="仿宋_GB2312"/>
          <w:strike w:val="0"/>
          <w:dstrike w:val="0"/>
          <w:color w:val="000000" w:themeColor="text1"/>
          <w:spacing w:val="0"/>
          <w:sz w:val="24"/>
          <w:highlight w:val="none"/>
          <w:u w:val="none"/>
          <w:lang w:val="en-US" w:eastAsia="zh-CN"/>
          <w14:textFill>
            <w14:solidFill>
              <w14:schemeClr w14:val="tx1"/>
            </w14:solidFill>
          </w14:textFill>
        </w:rPr>
        <w:t>季度</w:t>
      </w:r>
      <w:r>
        <w:rPr>
          <w:rFonts w:hint="eastAsia" w:ascii="仿宋_GB2312" w:hAnsi="宋体" w:eastAsia="仿宋_GB2312"/>
          <w:strike w:val="0"/>
          <w:dstrike w:val="0"/>
          <w:color w:val="000000" w:themeColor="text1"/>
          <w:spacing w:val="0"/>
          <w:sz w:val="24"/>
          <w:highlight w:val="none"/>
          <w:u w:val="none"/>
          <w14:textFill>
            <w14:solidFill>
              <w14:schemeClr w14:val="tx1"/>
            </w14:solidFill>
          </w14:textFill>
        </w:rPr>
        <w:t>为</w:t>
      </w:r>
      <w:r>
        <w:rPr>
          <w:rFonts w:hint="eastAsia" w:ascii="仿宋_GB2312" w:hAnsi="宋体" w:eastAsia="仿宋_GB2312"/>
          <w:color w:val="000000" w:themeColor="text1"/>
          <w:spacing w:val="0"/>
          <w:sz w:val="24"/>
          <w:highlight w:val="none"/>
          <w14:textFill>
            <w14:solidFill>
              <w14:schemeClr w14:val="tx1"/>
            </w14:solidFill>
          </w14:textFill>
        </w:rPr>
        <w:t>一期</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计算支付</w:t>
      </w:r>
      <w:r>
        <w:rPr>
          <w:rFonts w:hint="eastAsia" w:ascii="仿宋_GB2312" w:hAnsi="宋体" w:eastAsia="仿宋_GB2312"/>
          <w:color w:val="000000" w:themeColor="text1"/>
          <w:spacing w:val="0"/>
          <w:sz w:val="24"/>
          <w:highlight w:val="none"/>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乙方在本合同签订之日起5个工作日内，应当向甲方支付首期租金，即</w:t>
      </w:r>
      <w:r>
        <w:rPr>
          <w:rFonts w:hint="eastAsia" w:ascii="仿宋_GB2312" w:hAnsi="仿宋_GB2312" w:eastAsia="仿宋_GB2312" w:cs="仿宋_GB2312"/>
          <w:color w:val="000000" w:themeColor="text1"/>
          <w:spacing w:val="0"/>
          <w:sz w:val="24"/>
          <w:highlight w:val="none"/>
          <w14:textFill>
            <w14:solidFill>
              <w14:schemeClr w14:val="tx1"/>
            </w14:solidFill>
          </w14:textFill>
        </w:rPr>
        <w:t>人民币¥</w:t>
      </w:r>
      <w:r>
        <w:rPr>
          <w:rFonts w:hint="eastAsia" w:ascii="仿宋_GB2312" w:hAnsi="仿宋_GB2312" w:eastAsia="仿宋_GB2312" w:cs="仿宋_GB2312"/>
          <w:color w:val="auto"/>
          <w:spacing w:val="0"/>
          <w:sz w:val="24"/>
          <w:highlight w:val="none"/>
          <w:u w:val="single"/>
          <w:lang w:val="en-US" w:eastAsia="zh-CN"/>
        </w:rPr>
        <w:t xml:space="preserve"> </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其后每期租金应当提前30日支付</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甲方收到</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租金后，</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按本合同所载明的乙方信息</w:t>
      </w:r>
      <w:r>
        <w:rPr>
          <w:rFonts w:hint="eastAsia" w:ascii="仿宋_GB2312" w:hAnsi="宋体" w:eastAsia="仿宋_GB2312"/>
          <w:color w:val="000000" w:themeColor="text1"/>
          <w:spacing w:val="0"/>
          <w:sz w:val="24"/>
          <w:highlight w:val="none"/>
          <w:u w:val="none"/>
          <w14:textFill>
            <w14:solidFill>
              <w14:schemeClr w14:val="tx1"/>
            </w14:solidFill>
          </w14:textFill>
        </w:rPr>
        <w:t>向乙方开具发票</w:t>
      </w:r>
      <w:r>
        <w:rPr>
          <w:rFonts w:hint="eastAsia" w:ascii="仿宋_GB2312" w:hAnsi="宋体" w:eastAsia="仿宋_GB2312"/>
          <w:color w:val="000000" w:themeColor="text1"/>
          <w:spacing w:val="0"/>
          <w:sz w:val="24"/>
          <w:highlight w:val="none"/>
          <w:u w:val="none"/>
          <w:lang w:eastAsia="zh-CN"/>
          <w14:textFill>
            <w14:solidFill>
              <w14:schemeClr w14:val="tx1"/>
            </w14:solidFill>
          </w14:textFill>
        </w:rPr>
        <w:t>。</w:t>
      </w:r>
    </w:p>
    <w:p w14:paraId="0F1E5F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none"/>
          <w14:textFill>
            <w14:solidFill>
              <w14:schemeClr w14:val="tx1"/>
            </w14:solidFill>
          </w14:textFill>
        </w:rPr>
      </w:pPr>
      <w:bookmarkStart w:id="1" w:name="_Hlk97540004"/>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 xml:space="preserve">6.4. </w:t>
      </w:r>
      <w:r>
        <w:rPr>
          <w:rFonts w:hint="eastAsia" w:ascii="仿宋_GB2312" w:hAnsi="宋体" w:eastAsia="仿宋_GB2312"/>
          <w:color w:val="000000" w:themeColor="text1"/>
          <w:spacing w:val="0"/>
          <w:sz w:val="24"/>
          <w:highlight w:val="none"/>
          <w:u w:val="none"/>
          <w14:textFill>
            <w14:solidFill>
              <w14:schemeClr w14:val="tx1"/>
            </w14:solidFill>
          </w14:textFill>
        </w:rPr>
        <w:t>本合同签订后，</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任何一方不得因市场行情变化要求变更或调整租金标准。</w:t>
      </w:r>
    </w:p>
    <w:bookmarkEnd w:id="1"/>
    <w:p w14:paraId="461618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s="Times New Roman"/>
          <w:color w:val="000000" w:themeColor="text1"/>
          <w:spacing w:val="0"/>
          <w:sz w:val="24"/>
          <w:highlight w:val="none"/>
          <w:u w:val="none"/>
          <w:lang w:val="en-US" w:eastAsia="zh-CN"/>
          <w14:textFill>
            <w14:solidFill>
              <w14:schemeClr w14:val="tx1"/>
            </w14:solidFill>
          </w14:textFill>
        </w:rPr>
      </w:pPr>
      <w:r>
        <w:rPr>
          <w:rFonts w:hint="eastAsia" w:ascii="仿宋_GB2312" w:hAnsi="宋体" w:eastAsia="仿宋_GB2312" w:cs="Times New Roman"/>
          <w:color w:val="000000" w:themeColor="text1"/>
          <w:spacing w:val="0"/>
          <w:sz w:val="24"/>
          <w:highlight w:val="none"/>
          <w:u w:val="none"/>
          <w:lang w:val="en-US" w:eastAsia="zh-CN"/>
          <w14:textFill>
            <w14:solidFill>
              <w14:schemeClr w14:val="tx1"/>
            </w14:solidFill>
          </w14:textFill>
        </w:rPr>
        <w:t xml:space="preserve">6.5. </w:t>
      </w:r>
      <w:r>
        <w:rPr>
          <w:rFonts w:hint="eastAsia" w:ascii="仿宋_GB2312" w:hAnsi="宋体" w:eastAsia="仿宋_GB2312"/>
          <w:color w:val="000000" w:themeColor="text1"/>
          <w:sz w:val="24"/>
          <w:highlight w:val="none"/>
          <w:u w:val="none"/>
          <w14:textFill>
            <w14:solidFill>
              <w14:schemeClr w14:val="tx1"/>
            </w14:solidFill>
          </w14:textFill>
        </w:rPr>
        <w:t>合同纳税义务发生时若国家增值税税率发生调整，不含税价款不变，增值税和合同含税价款根据国家税率变动相应调整</w:t>
      </w:r>
      <w:r>
        <w:rPr>
          <w:rFonts w:hint="eastAsia" w:ascii="仿宋_GB2312" w:hAnsi="宋体" w:eastAsia="仿宋_GB2312" w:cs="Times New Roman"/>
          <w:color w:val="000000" w:themeColor="text1"/>
          <w:sz w:val="24"/>
          <w:highlight w:val="none"/>
          <w:u w:val="none"/>
          <w:lang w:eastAsia="zh-CN"/>
          <w14:textFill>
            <w14:solidFill>
              <w14:schemeClr w14:val="tx1"/>
            </w14:solidFill>
          </w14:textFill>
        </w:rPr>
        <w:t>。</w:t>
      </w:r>
    </w:p>
    <w:p w14:paraId="32EE47A2">
      <w:pPr>
        <w:keepNext w:val="0"/>
        <w:keepLines w:val="0"/>
        <w:pageBreakBefore w:val="0"/>
        <w:widowControl w:val="0"/>
        <w:tabs>
          <w:tab w:val="left" w:pos="8820"/>
        </w:tabs>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pacing w:val="0"/>
          <w:sz w:val="24"/>
          <w:highlight w:val="none"/>
          <w14:textFill>
            <w14:solidFill>
              <w14:schemeClr w14:val="tx1"/>
            </w14:solidFill>
          </w14:textFill>
        </w:rPr>
      </w:pPr>
    </w:p>
    <w:p w14:paraId="322C2799">
      <w:pPr>
        <w:keepNext w:val="0"/>
        <w:keepLines w:val="0"/>
        <w:pageBreakBefore w:val="0"/>
        <w:widowControl w:val="0"/>
        <w:tabs>
          <w:tab w:val="left" w:pos="8820"/>
        </w:tabs>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pacing w:val="0"/>
          <w:sz w:val="24"/>
          <w:highlight w:val="none"/>
          <w:lang w:val="en-US" w:eastAsia="zh-CN"/>
          <w14:textFill>
            <w14:solidFill>
              <w14:schemeClr w14:val="tx1"/>
            </w14:solidFill>
          </w14:textFill>
        </w:rPr>
      </w:pPr>
      <w:r>
        <w:rPr>
          <w:rFonts w:hint="eastAsia" w:ascii="黑体" w:hAnsi="黑体" w:eastAsia="黑体" w:cs="黑体"/>
          <w:color w:val="000000" w:themeColor="text1"/>
          <w:spacing w:val="0"/>
          <w:sz w:val="24"/>
          <w:highlight w:val="none"/>
          <w14:textFill>
            <w14:solidFill>
              <w14:schemeClr w14:val="tx1"/>
            </w14:solidFill>
          </w14:textFill>
        </w:rPr>
        <w:t>第</w:t>
      </w:r>
      <w:r>
        <w:rPr>
          <w:rFonts w:hint="eastAsia" w:ascii="黑体" w:hAnsi="黑体" w:eastAsia="黑体" w:cs="黑体"/>
          <w:color w:val="000000" w:themeColor="text1"/>
          <w:spacing w:val="0"/>
          <w:sz w:val="24"/>
          <w:highlight w:val="none"/>
          <w:lang w:val="en-US" w:eastAsia="zh-CN"/>
          <w14:textFill>
            <w14:solidFill>
              <w14:schemeClr w14:val="tx1"/>
            </w14:solidFill>
          </w14:textFill>
        </w:rPr>
        <w:t>七</w:t>
      </w:r>
      <w:r>
        <w:rPr>
          <w:rFonts w:hint="eastAsia" w:ascii="黑体" w:hAnsi="黑体" w:eastAsia="黑体" w:cs="黑体"/>
          <w:color w:val="000000" w:themeColor="text1"/>
          <w:spacing w:val="0"/>
          <w:sz w:val="24"/>
          <w:highlight w:val="none"/>
          <w14:textFill>
            <w14:solidFill>
              <w14:schemeClr w14:val="tx1"/>
            </w14:solidFill>
          </w14:textFill>
        </w:rPr>
        <w:t xml:space="preserve">条 </w:t>
      </w:r>
      <w:r>
        <w:rPr>
          <w:rFonts w:hint="eastAsia" w:ascii="黑体" w:hAnsi="黑体" w:eastAsia="黑体" w:cs="黑体"/>
          <w:color w:val="000000" w:themeColor="text1"/>
          <w:spacing w:val="0"/>
          <w:sz w:val="24"/>
          <w:highlight w:val="none"/>
          <w:lang w:val="en-US" w:eastAsia="zh-CN"/>
          <w14:textFill>
            <w14:solidFill>
              <w14:schemeClr w14:val="tx1"/>
            </w14:solidFill>
          </w14:textFill>
        </w:rPr>
        <w:t>物业服务或综合管理</w:t>
      </w:r>
    </w:p>
    <w:p w14:paraId="615B11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7.1. 本合同租赁期间</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（有/无）物业服务，由甲方指定的物业公司</w:t>
      </w:r>
      <w:r>
        <w:rPr>
          <w:rFonts w:hint="eastAsia" w:ascii="仿宋_GB2312" w:hAnsi="仿宋_GB2312" w:eastAsia="仿宋_GB2312" w:cs="仿宋_GB2312"/>
          <w:color w:val="auto"/>
          <w:spacing w:val="0"/>
          <w:sz w:val="24"/>
          <w:highlight w:val="none"/>
          <w:u w:val="single"/>
          <w:lang w:val="en-US" w:eastAsia="zh-CN"/>
        </w:rPr>
        <w:t>四川博达融合供应链管理有限责任公司</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提供物业服务，</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乙方须与</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物业服务方另行签订物业服务合同。</w:t>
      </w:r>
    </w:p>
    <w:p w14:paraId="2EEBA0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7.2. 本合同租赁期间</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（有/无）综合管理，</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（需/不需）向甲方支付综合管理费，综合管理费以本合同租赁建筑面积为计价基础，按</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元/平方米/月的标准计算，支付方式与租金支付方式一致，同时按期支付。</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综合管理费用于本租赁资产所在项目公共区域内的（门前五包除外）：环境卫生维护费用、秩序维护费用、物业共有部位及共有设施设备日常运行和日常维护费用、公共区域能耗费用、管理人员费用、办公费用、固定资产折旧费。</w:t>
      </w:r>
    </w:p>
    <w:p w14:paraId="08ADA44C">
      <w:pPr>
        <w:keepNext w:val="0"/>
        <w:keepLines w:val="0"/>
        <w:pageBreakBefore w:val="0"/>
        <w:widowControl w:val="0"/>
        <w:tabs>
          <w:tab w:val="left" w:pos="8820"/>
        </w:tabs>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pacing w:val="0"/>
          <w:sz w:val="24"/>
          <w:highlight w:val="none"/>
          <w14:textFill>
            <w14:solidFill>
              <w14:schemeClr w14:val="tx1"/>
            </w14:solidFill>
          </w14:textFill>
        </w:rPr>
      </w:pPr>
    </w:p>
    <w:p w14:paraId="6455913C">
      <w:pPr>
        <w:keepNext w:val="0"/>
        <w:keepLines w:val="0"/>
        <w:pageBreakBefore w:val="0"/>
        <w:widowControl w:val="0"/>
        <w:tabs>
          <w:tab w:val="left" w:pos="8820"/>
        </w:tabs>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pacing w:val="0"/>
          <w:sz w:val="24"/>
          <w:highlight w:val="none"/>
          <w:lang w:val="en-US" w:eastAsia="zh-CN"/>
          <w14:textFill>
            <w14:solidFill>
              <w14:schemeClr w14:val="tx1"/>
            </w14:solidFill>
          </w14:textFill>
        </w:rPr>
      </w:pPr>
      <w:r>
        <w:rPr>
          <w:rFonts w:hint="eastAsia" w:ascii="黑体" w:hAnsi="黑体" w:eastAsia="黑体" w:cs="黑体"/>
          <w:color w:val="000000" w:themeColor="text1"/>
          <w:spacing w:val="0"/>
          <w:sz w:val="24"/>
          <w:highlight w:val="none"/>
          <w14:textFill>
            <w14:solidFill>
              <w14:schemeClr w14:val="tx1"/>
            </w14:solidFill>
          </w14:textFill>
        </w:rPr>
        <w:t>第</w:t>
      </w:r>
      <w:r>
        <w:rPr>
          <w:rFonts w:hint="eastAsia" w:ascii="黑体" w:hAnsi="黑体" w:eastAsia="黑体" w:cs="黑体"/>
          <w:color w:val="000000" w:themeColor="text1"/>
          <w:spacing w:val="0"/>
          <w:sz w:val="24"/>
          <w:highlight w:val="none"/>
          <w:lang w:val="en-US" w:eastAsia="zh-CN"/>
          <w14:textFill>
            <w14:solidFill>
              <w14:schemeClr w14:val="tx1"/>
            </w14:solidFill>
          </w14:textFill>
        </w:rPr>
        <w:t>八</w:t>
      </w:r>
      <w:r>
        <w:rPr>
          <w:rFonts w:hint="eastAsia" w:ascii="黑体" w:hAnsi="黑体" w:eastAsia="黑体" w:cs="黑体"/>
          <w:color w:val="000000" w:themeColor="text1"/>
          <w:spacing w:val="0"/>
          <w:sz w:val="24"/>
          <w:highlight w:val="none"/>
          <w14:textFill>
            <w14:solidFill>
              <w14:schemeClr w14:val="tx1"/>
            </w14:solidFill>
          </w14:textFill>
        </w:rPr>
        <w:t xml:space="preserve">条 </w:t>
      </w:r>
      <w:r>
        <w:rPr>
          <w:rFonts w:hint="eastAsia" w:ascii="黑体" w:hAnsi="黑体" w:eastAsia="黑体" w:cs="黑体"/>
          <w:color w:val="000000" w:themeColor="text1"/>
          <w:spacing w:val="0"/>
          <w:sz w:val="24"/>
          <w:highlight w:val="none"/>
          <w:lang w:eastAsia="zh-CN"/>
          <w14:textFill>
            <w14:solidFill>
              <w14:schemeClr w14:val="tx1"/>
            </w14:solidFill>
          </w14:textFill>
        </w:rPr>
        <w:t>履约保证金</w:t>
      </w:r>
      <w:r>
        <w:rPr>
          <w:rFonts w:hint="eastAsia" w:ascii="黑体" w:hAnsi="黑体" w:eastAsia="黑体" w:cs="黑体"/>
          <w:color w:val="000000" w:themeColor="text1"/>
          <w:spacing w:val="0"/>
          <w:sz w:val="24"/>
          <w:highlight w:val="none"/>
          <w:lang w:val="en-US" w:eastAsia="zh-CN"/>
          <w14:textFill>
            <w14:solidFill>
              <w14:schemeClr w14:val="tx1"/>
            </w14:solidFill>
          </w14:textFill>
        </w:rPr>
        <w:t xml:space="preserve"> </w:t>
      </w:r>
    </w:p>
    <w:p w14:paraId="66E7E7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8.1. 本合同所涉租赁事项乙方</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（需/不需）</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向甲方支付履约保证金。</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自本合同签订之日起</w:t>
      </w:r>
      <w:r>
        <w:rPr>
          <w:rFonts w:hint="eastAsia" w:ascii="仿宋_GB2312" w:hAnsi="仿宋_GB2312" w:eastAsia="仿宋_GB2312" w:cs="仿宋_GB2312"/>
          <w:color w:val="000000" w:themeColor="text1"/>
          <w:spacing w:val="0"/>
          <w:sz w:val="24"/>
          <w:highlight w:val="none"/>
          <w14:textFill>
            <w14:solidFill>
              <w14:schemeClr w14:val="tx1"/>
            </w14:solidFill>
          </w14:textFill>
        </w:rPr>
        <w:t>，乙方</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首次</w:t>
      </w:r>
      <w:r>
        <w:rPr>
          <w:rFonts w:hint="eastAsia" w:ascii="仿宋_GB2312" w:hAnsi="仿宋_GB2312" w:eastAsia="仿宋_GB2312" w:cs="仿宋_GB2312"/>
          <w:color w:val="000000" w:themeColor="text1"/>
          <w:spacing w:val="0"/>
          <w:sz w:val="24"/>
          <w:highlight w:val="none"/>
          <w14:textFill>
            <w14:solidFill>
              <w14:schemeClr w14:val="tx1"/>
            </w14:solidFill>
          </w14:textFill>
        </w:rPr>
        <w:t>支付</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租金的同时应当向甲方支付</w:t>
      </w:r>
      <w:r>
        <w:rPr>
          <w:rFonts w:hint="eastAsia" w:ascii="仿宋_GB2312" w:hAnsi="仿宋_GB2312" w:eastAsia="仿宋_GB2312" w:cs="仿宋_GB2312"/>
          <w:color w:val="000000" w:themeColor="text1"/>
          <w:spacing w:val="0"/>
          <w:sz w:val="24"/>
          <w:highlight w:val="none"/>
          <w14:textFill>
            <w14:solidFill>
              <w14:schemeClr w14:val="tx1"/>
            </w14:solidFill>
          </w14:textFill>
        </w:rPr>
        <w:t>相当于该</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资产3</w:t>
      </w:r>
      <w:r>
        <w:rPr>
          <w:rFonts w:hint="eastAsia" w:ascii="仿宋_GB2312" w:hAnsi="仿宋_GB2312" w:eastAsia="仿宋_GB2312" w:cs="仿宋_GB2312"/>
          <w:color w:val="000000" w:themeColor="text1"/>
          <w:spacing w:val="0"/>
          <w:sz w:val="24"/>
          <w:highlight w:val="none"/>
          <w14:textFill>
            <w14:solidFill>
              <w14:schemeClr w14:val="tx1"/>
            </w14:solidFill>
          </w14:textFill>
        </w:rPr>
        <w:t>个月的租金金额作为</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履约保证金，</w:t>
      </w:r>
      <w:r>
        <w:rPr>
          <w:rFonts w:hint="eastAsia" w:ascii="仿宋_GB2312" w:hAnsi="仿宋_GB2312" w:eastAsia="仿宋_GB2312" w:cs="仿宋_GB2312"/>
          <w:color w:val="000000" w:themeColor="text1"/>
          <w:spacing w:val="0"/>
          <w:sz w:val="24"/>
          <w:highlight w:val="none"/>
          <w14:textFill>
            <w14:solidFill>
              <w14:schemeClr w14:val="tx1"/>
            </w14:solidFill>
          </w14:textFill>
        </w:rPr>
        <w:t>即人民币¥</w:t>
      </w:r>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bookmarkStart w:id="2" w:name="_GoBack"/>
      <w:bookmarkEnd w:id="2"/>
      <w:r>
        <w:rPr>
          <w:rFonts w:hint="eastAsia" w:ascii="仿宋_GB2312" w:hAnsi="仿宋_GB2312" w:eastAsia="仿宋_GB2312" w:cs="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w:t>
      </w:r>
    </w:p>
    <w:p w14:paraId="3070C6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FF0000"/>
          <w:spacing w:val="0"/>
          <w:sz w:val="24"/>
          <w:highlight w:val="none"/>
          <w:u w:val="single"/>
          <w:lang w:val="en-US" w:eastAsia="zh-CN"/>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8.2. 履约保证金用途：甲方有权将乙方缴纳的履约保证金用于冲抵或代缴</w:t>
      </w:r>
      <w:r>
        <w:rPr>
          <w:rFonts w:hint="eastAsia" w:ascii="仿宋_GB2312" w:hAnsi="仿宋_GB2312" w:eastAsia="仿宋_GB2312" w:cs="仿宋_GB2312"/>
          <w:color w:val="000000" w:themeColor="text1"/>
          <w:spacing w:val="0"/>
          <w:sz w:val="24"/>
          <w:highlight w:val="none"/>
          <w14:textFill>
            <w14:solidFill>
              <w14:schemeClr w14:val="tx1"/>
            </w14:solidFill>
          </w14:textFill>
        </w:rPr>
        <w:t>乙方拖欠的租金、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综合管理费、物业服务费、水费、电费、气费、</w:t>
      </w:r>
      <w:r>
        <w:rPr>
          <w:rFonts w:hint="eastAsia" w:ascii="仿宋_GB2312" w:hAnsi="仿宋_GB2312" w:eastAsia="仿宋_GB2312" w:cs="仿宋_GB2312"/>
          <w:color w:val="000000" w:themeColor="text1"/>
          <w:spacing w:val="0"/>
          <w:sz w:val="24"/>
          <w:highlight w:val="none"/>
          <w14:textFill>
            <w14:solidFill>
              <w14:schemeClr w14:val="tx1"/>
            </w14:solidFill>
          </w14:textFill>
        </w:rPr>
        <w:t>违约金、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占用费、赔偿金、</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维修复原</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费以及其他</w:t>
      </w:r>
      <w:r>
        <w:rPr>
          <w:rFonts w:hint="eastAsia" w:ascii="仿宋_GB2312" w:hAnsi="仿宋_GB2312" w:eastAsia="仿宋_GB2312" w:cs="仿宋_GB2312"/>
          <w:color w:val="000000" w:themeColor="text1"/>
          <w:spacing w:val="0"/>
          <w:sz w:val="24"/>
          <w:highlight w:val="none"/>
          <w14:textFill>
            <w14:solidFill>
              <w14:schemeClr w14:val="tx1"/>
            </w14:solidFill>
          </w14:textFill>
        </w:rPr>
        <w:t>应由乙方承担的费用</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或经济责任。</w:t>
      </w:r>
    </w:p>
    <w:p w14:paraId="5F150F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8.3. 乙方缴纳的履约保证金因上述原因由甲方扣除后，如乙方继续租赁，须在甲方通知后5个工作日内补足履约保证金。</w:t>
      </w:r>
    </w:p>
    <w:p w14:paraId="1E3DD1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8.4. 租赁合同期满终止时，履约保证金用以冲抵或代缴前述费用后的剩余部分，在乙方交还全部租赁资产后2０个工作日内无息退还。</w:t>
      </w:r>
    </w:p>
    <w:p w14:paraId="329EB0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8.5. 若因乙方原因造成租赁合同解除或终止，乙方缴纳的履约保证金甲方全部不予退还。</w:t>
      </w:r>
    </w:p>
    <w:p w14:paraId="38B6FD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5C25AA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九</w:t>
      </w:r>
      <w:r>
        <w:rPr>
          <w:rFonts w:hint="eastAsia" w:ascii="黑体" w:hAnsi="黑体" w:eastAsia="黑体"/>
          <w:color w:val="000000" w:themeColor="text1"/>
          <w:spacing w:val="0"/>
          <w:sz w:val="24"/>
          <w:highlight w:val="none"/>
          <w14:textFill>
            <w14:solidFill>
              <w14:schemeClr w14:val="tx1"/>
            </w14:solidFill>
          </w14:textFill>
        </w:rPr>
        <w:t>条 其他费用约定</w:t>
      </w:r>
    </w:p>
    <w:p w14:paraId="5920774A">
      <w:pPr>
        <w:keepNext w:val="0"/>
        <w:keepLines w:val="0"/>
        <w:pageBreakBefore w:val="0"/>
        <w:widowControl w:val="0"/>
        <w:tabs>
          <w:tab w:val="left" w:pos="8640"/>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9.1. </w:t>
      </w:r>
      <w:r>
        <w:rPr>
          <w:rFonts w:hint="eastAsia" w:ascii="仿宋_GB2312" w:hAnsi="宋体" w:eastAsia="仿宋_GB2312"/>
          <w:color w:val="000000" w:themeColor="text1"/>
          <w:spacing w:val="0"/>
          <w:sz w:val="24"/>
          <w:highlight w:val="none"/>
          <w:u w:val="none"/>
          <w14:textFill>
            <w14:solidFill>
              <w14:schemeClr w14:val="tx1"/>
            </w14:solidFill>
          </w14:textFill>
        </w:rPr>
        <w:t>租赁期间，</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乙方</w:t>
      </w:r>
      <w:r>
        <w:rPr>
          <w:rFonts w:hint="eastAsia" w:ascii="仿宋_GB2312" w:hAnsi="宋体" w:eastAsia="仿宋_GB2312"/>
          <w:color w:val="000000" w:themeColor="text1"/>
          <w:spacing w:val="0"/>
          <w:sz w:val="24"/>
          <w:highlight w:val="none"/>
          <w:u w:val="none"/>
          <w14:textFill>
            <w14:solidFill>
              <w14:schemeClr w14:val="tx1"/>
            </w14:solidFill>
          </w14:textFill>
        </w:rPr>
        <w:t>使用</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租赁资产</w:t>
      </w:r>
      <w:r>
        <w:rPr>
          <w:rFonts w:hint="eastAsia" w:ascii="仿宋_GB2312" w:hAnsi="宋体" w:eastAsia="仿宋_GB2312"/>
          <w:color w:val="000000" w:themeColor="text1"/>
          <w:spacing w:val="0"/>
          <w:sz w:val="24"/>
          <w:highlight w:val="none"/>
          <w:u w:val="none"/>
          <w14:textFill>
            <w14:solidFill>
              <w14:schemeClr w14:val="tx1"/>
            </w14:solidFill>
          </w14:textFill>
        </w:rPr>
        <w:t>所发生的水、电</w:t>
      </w:r>
      <w:r>
        <w:rPr>
          <w:rFonts w:hint="eastAsia" w:ascii="仿宋_GB2312" w:hAnsi="宋体" w:eastAsia="仿宋_GB2312"/>
          <w:color w:val="000000" w:themeColor="text1"/>
          <w:spacing w:val="0"/>
          <w:sz w:val="24"/>
          <w:highlight w:val="none"/>
          <w:u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气</w:t>
      </w:r>
      <w:r>
        <w:rPr>
          <w:rFonts w:hint="eastAsia" w:ascii="仿宋_GB2312" w:hAnsi="宋体" w:eastAsia="仿宋_GB2312"/>
          <w:color w:val="000000" w:themeColor="text1"/>
          <w:spacing w:val="0"/>
          <w:sz w:val="24"/>
          <w:highlight w:val="none"/>
          <w:u w:val="none"/>
          <w14:textFill>
            <w14:solidFill>
              <w14:schemeClr w14:val="tx1"/>
            </w14:solidFill>
          </w14:textFill>
        </w:rPr>
        <w:t>等费用由</w:t>
      </w:r>
      <w:r>
        <w:rPr>
          <w:rFonts w:hint="eastAsia" w:ascii="仿宋_GB2312" w:eastAsia="仿宋_GB2312"/>
          <w:color w:val="000000" w:themeColor="text1"/>
          <w:spacing w:val="0"/>
          <w:sz w:val="24"/>
          <w:highlight w:val="none"/>
          <w:u w:val="none"/>
          <w14:textFill>
            <w14:solidFill>
              <w14:schemeClr w14:val="tx1"/>
            </w14:solidFill>
          </w14:textFill>
        </w:rPr>
        <w:t>乙方自行缴纳；</w:t>
      </w:r>
      <w:r>
        <w:rPr>
          <w:rFonts w:hint="eastAsia" w:ascii="仿宋_GB2312" w:hAnsi="宋体" w:eastAsia="仿宋_GB2312"/>
          <w:color w:val="000000" w:themeColor="text1"/>
          <w:spacing w:val="0"/>
          <w:sz w:val="24"/>
          <w:highlight w:val="none"/>
          <w:u w:val="none"/>
          <w14:textFill>
            <w14:solidFill>
              <w14:schemeClr w14:val="tx1"/>
            </w14:solidFill>
          </w14:textFill>
        </w:rPr>
        <w:t>通讯（含电话、光纤、宽带等）、治安、消防、卫生、环保设备</w:t>
      </w:r>
      <w:r>
        <w:rPr>
          <w:rFonts w:hint="eastAsia" w:ascii="仿宋_GB2312" w:hAnsi="宋体" w:eastAsia="仿宋_GB2312"/>
          <w:color w:val="000000" w:themeColor="text1"/>
          <w:spacing w:val="0"/>
          <w:sz w:val="24"/>
          <w:highlight w:val="none"/>
          <w:u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场地维修、维护</w:t>
      </w:r>
      <w:r>
        <w:rPr>
          <w:rFonts w:hint="eastAsia" w:ascii="仿宋_GB2312" w:hAnsi="宋体" w:eastAsia="仿宋_GB2312"/>
          <w:color w:val="000000" w:themeColor="text1"/>
          <w:spacing w:val="0"/>
          <w:sz w:val="24"/>
          <w:highlight w:val="none"/>
          <w:u w:val="none"/>
          <w14:textFill>
            <w14:solidFill>
              <w14:schemeClr w14:val="tx1"/>
            </w14:solidFill>
          </w14:textFill>
        </w:rPr>
        <w:t>等</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一切</w:t>
      </w:r>
      <w:r>
        <w:rPr>
          <w:rFonts w:hint="eastAsia" w:ascii="仿宋_GB2312" w:hAnsi="宋体" w:eastAsia="仿宋_GB2312"/>
          <w:color w:val="000000" w:themeColor="text1"/>
          <w:spacing w:val="0"/>
          <w:sz w:val="24"/>
          <w:highlight w:val="none"/>
          <w:u w:val="none"/>
          <w14:textFill>
            <w14:solidFill>
              <w14:schemeClr w14:val="tx1"/>
            </w14:solidFill>
          </w14:textFill>
        </w:rPr>
        <w:t>费用由乙方</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自行</w:t>
      </w:r>
      <w:r>
        <w:rPr>
          <w:rFonts w:hint="eastAsia" w:ascii="仿宋_GB2312" w:hAnsi="宋体" w:eastAsia="仿宋_GB2312"/>
          <w:color w:val="000000" w:themeColor="text1"/>
          <w:spacing w:val="0"/>
          <w:sz w:val="24"/>
          <w:highlight w:val="none"/>
          <w:u w:val="none"/>
          <w14:textFill>
            <w14:solidFill>
              <w14:schemeClr w14:val="tx1"/>
            </w14:solidFill>
          </w14:textFill>
        </w:rPr>
        <w:t>承担并按时向相关单位缴纳，乙方如未按时缴纳上述各项费用所导致的一切法律责任和后果由乙方自行承担。</w:t>
      </w:r>
    </w:p>
    <w:p w14:paraId="336AF16A">
      <w:pPr>
        <w:keepNext w:val="0"/>
        <w:keepLines w:val="0"/>
        <w:pageBreakBefore w:val="0"/>
        <w:widowControl w:val="0"/>
        <w:tabs>
          <w:tab w:val="left" w:pos="8640"/>
          <w:tab w:val="left" w:pos="8820"/>
        </w:tabs>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u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9.2. 若租赁资产与其他资产共用水、电、气户号，租赁资产安装分表计量的，则由乙方将相关费用缴纳至甲方或甲方指定物业公司，由甲方或甲方指定物业公司代缴相关费用。</w:t>
      </w:r>
    </w:p>
    <w:p w14:paraId="75D7A96A">
      <w:pPr>
        <w:keepNext w:val="0"/>
        <w:keepLines w:val="0"/>
        <w:pageBreakBefore w:val="0"/>
        <w:widowControl w:val="0"/>
        <w:tabs>
          <w:tab w:val="left" w:pos="8640"/>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9.3. </w:t>
      </w:r>
      <w:r>
        <w:rPr>
          <w:rFonts w:hint="eastAsia" w:ascii="仿宋_GB2312" w:hAnsi="宋体" w:eastAsia="仿宋_GB2312"/>
          <w:color w:val="000000" w:themeColor="text1"/>
          <w:spacing w:val="0"/>
          <w:sz w:val="24"/>
          <w:highlight w:val="none"/>
          <w14:textFill>
            <w14:solidFill>
              <w14:schemeClr w14:val="tx1"/>
            </w14:solidFill>
          </w14:textFill>
        </w:rPr>
        <w:t>所有因执行本合同乙方付款发生的银行手续费由乙方承担。</w:t>
      </w:r>
    </w:p>
    <w:p w14:paraId="69E581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15D1D09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宋体" w:eastAsia="黑体"/>
          <w:color w:val="000000" w:themeColor="text1"/>
          <w:spacing w:val="0"/>
          <w:sz w:val="24"/>
          <w:highlight w:val="none"/>
          <w:lang w:val="en-US" w:eastAsia="zh-CN"/>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十</w:t>
      </w:r>
      <w:r>
        <w:rPr>
          <w:rFonts w:hint="eastAsia" w:ascii="黑体" w:hAnsi="黑体" w:eastAsia="黑体"/>
          <w:color w:val="000000" w:themeColor="text1"/>
          <w:spacing w:val="0"/>
          <w:sz w:val="24"/>
          <w:highlight w:val="none"/>
          <w14:textFill>
            <w14:solidFill>
              <w14:schemeClr w14:val="tx1"/>
            </w14:solidFill>
          </w14:textFill>
        </w:rPr>
        <w:t xml:space="preserve">条 </w:t>
      </w:r>
      <w:r>
        <w:rPr>
          <w:rFonts w:hint="eastAsia" w:ascii="黑体" w:hAnsi="黑体" w:eastAsia="黑体"/>
          <w:color w:val="000000" w:themeColor="text1"/>
          <w:spacing w:val="0"/>
          <w:sz w:val="24"/>
          <w:highlight w:val="none"/>
          <w:lang w:val="en-US" w:eastAsia="zh-CN"/>
          <w14:textFill>
            <w14:solidFill>
              <w14:schemeClr w14:val="tx1"/>
            </w14:solidFill>
          </w14:textFill>
        </w:rPr>
        <w:t>费用收取</w:t>
      </w:r>
    </w:p>
    <w:p w14:paraId="63488A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none"/>
          <w14:textFill>
            <w14:solidFill>
              <w14:schemeClr w14:val="tx1"/>
            </w14:solidFill>
          </w14:textFill>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 xml:space="preserve">10.1. </w:t>
      </w:r>
      <w:r>
        <w:rPr>
          <w:rFonts w:hint="eastAsia" w:ascii="仿宋_GB2312" w:hAnsi="宋体" w:eastAsia="仿宋_GB2312"/>
          <w:color w:val="000000" w:themeColor="text1"/>
          <w:spacing w:val="0"/>
          <w:sz w:val="24"/>
          <w:highlight w:val="none"/>
          <w:u w:val="none"/>
          <w14:textFill>
            <w14:solidFill>
              <w14:schemeClr w14:val="tx1"/>
            </w14:solidFill>
          </w14:textFill>
        </w:rPr>
        <w:t>内江建工商业运营管理有限公司收取</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相关费用</w:t>
      </w:r>
      <w:r>
        <w:rPr>
          <w:rFonts w:hint="eastAsia" w:ascii="仿宋_GB2312" w:hAnsi="宋体" w:eastAsia="仿宋_GB2312"/>
          <w:color w:val="000000" w:themeColor="text1"/>
          <w:spacing w:val="0"/>
          <w:sz w:val="24"/>
          <w:highlight w:val="none"/>
          <w:u w:val="none"/>
          <w14:textFill>
            <w14:solidFill>
              <w14:schemeClr w14:val="tx1"/>
            </w14:solidFill>
          </w14:textFill>
        </w:rPr>
        <w:t>指定银行帐户如下：</w:t>
      </w:r>
    </w:p>
    <w:p w14:paraId="4F414E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u w:val="none"/>
          <w14:textFill>
            <w14:solidFill>
              <w14:schemeClr w14:val="tx1"/>
            </w14:solidFill>
          </w14:textFill>
        </w:rPr>
        <w:t>户</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u w:val="none"/>
          <w14:textFill>
            <w14:solidFill>
              <w14:schemeClr w14:val="tx1"/>
            </w14:solidFill>
          </w14:textFill>
        </w:rPr>
        <w:t>名：</w:t>
      </w:r>
      <w:r>
        <w:rPr>
          <w:rFonts w:hint="eastAsia" w:ascii="仿宋_GB2312" w:hAnsi="宋体" w:eastAsia="仿宋_GB2312"/>
          <w:color w:val="000000" w:themeColor="text1"/>
          <w:spacing w:val="0"/>
          <w:sz w:val="24"/>
          <w:highlight w:val="none"/>
          <w:u w:val="single"/>
          <w14:textFill>
            <w14:solidFill>
              <w14:schemeClr w14:val="tx1"/>
            </w14:solidFill>
          </w14:textFill>
        </w:rPr>
        <w:t>内江建工商业运营管理有限公司</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p>
    <w:p w14:paraId="711070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u w:val="none"/>
          <w14:textFill>
            <w14:solidFill>
              <w14:schemeClr w14:val="tx1"/>
            </w14:solidFill>
          </w14:textFill>
        </w:rPr>
        <w:t>开户行：</w:t>
      </w:r>
      <w:r>
        <w:rPr>
          <w:rFonts w:hint="eastAsia" w:ascii="仿宋_GB2312" w:hAnsi="宋体" w:eastAsia="仿宋_GB2312"/>
          <w:color w:val="000000" w:themeColor="text1"/>
          <w:spacing w:val="0"/>
          <w:sz w:val="24"/>
          <w:highlight w:val="none"/>
          <w:u w:val="single"/>
          <w14:textFill>
            <w14:solidFill>
              <w14:schemeClr w14:val="tx1"/>
            </w14:solidFill>
          </w14:textFill>
        </w:rPr>
        <w:t>中国工商银行内江万达广场支行</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p>
    <w:p w14:paraId="00CE35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u w:val="singl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u w:val="none"/>
          <w14:textFill>
            <w14:solidFill>
              <w14:schemeClr w14:val="tx1"/>
            </w14:solidFill>
          </w14:textFill>
        </w:rPr>
        <w:t>帐</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u w:val="none"/>
          <w14:textFill>
            <w14:solidFill>
              <w14:schemeClr w14:val="tx1"/>
            </w14:solidFill>
          </w14:textFill>
        </w:rPr>
        <w:t>号：</w:t>
      </w:r>
      <w:r>
        <w:rPr>
          <w:rFonts w:hint="eastAsia" w:ascii="仿宋_GB2312" w:hAnsi="宋体" w:eastAsia="仿宋_GB2312"/>
          <w:color w:val="000000" w:themeColor="text1"/>
          <w:spacing w:val="0"/>
          <w:sz w:val="24"/>
          <w:highlight w:val="none"/>
          <w:u w:val="single"/>
          <w14:textFill>
            <w14:solidFill>
              <w14:schemeClr w14:val="tx1"/>
            </w14:solidFill>
          </w14:textFill>
        </w:rPr>
        <w:t>2307485119100036155</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p>
    <w:p w14:paraId="1D2BB1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none"/>
          <w14:textFill>
            <w14:solidFill>
              <w14:schemeClr w14:val="tx1"/>
            </w14:solidFill>
          </w14:textFill>
        </w:rPr>
      </w:pPr>
      <w:r>
        <w:rPr>
          <w:rFonts w:hint="eastAsia" w:ascii="仿宋_GB2312" w:hAnsi="宋体" w:eastAsia="仿宋_GB2312"/>
          <w:color w:val="000000" w:themeColor="text1"/>
          <w:spacing w:val="0"/>
          <w:sz w:val="24"/>
          <w:highlight w:val="none"/>
          <w:u w:val="none"/>
          <w14:textFill>
            <w14:solidFill>
              <w14:schemeClr w14:val="tx1"/>
            </w14:solidFill>
          </w14:textFill>
        </w:rPr>
        <w:t>账户信息若有变更，以甲方另行书面通知为准。</w:t>
      </w:r>
    </w:p>
    <w:p w14:paraId="0D60F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10.2. 其他人代乙方向甲方支付相关费用的，须在付款时备注“代…支付…费用”；若无备注或备注不清的，视同乙方未缴纳该笔费用，造成的一切损失由乙方自行承担。</w:t>
      </w:r>
    </w:p>
    <w:p w14:paraId="4BE23B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 xml:space="preserve">10.3. </w:t>
      </w:r>
      <w:r>
        <w:rPr>
          <w:rFonts w:hint="eastAsia" w:ascii="仿宋_GB2312" w:hAnsi="宋体" w:eastAsia="仿宋_GB2312"/>
          <w:color w:val="000000" w:themeColor="text1"/>
          <w:spacing w:val="0"/>
          <w:sz w:val="24"/>
          <w:highlight w:val="none"/>
          <w:u w:val="none"/>
          <w14:textFill>
            <w14:solidFill>
              <w14:schemeClr w14:val="tx1"/>
            </w14:solidFill>
          </w14:textFill>
        </w:rPr>
        <w:t>乙方可以现金、银行转帐或银行汇款</w:t>
      </w:r>
      <w:r>
        <w:rPr>
          <w:rFonts w:hint="eastAsia" w:ascii="仿宋_GB2312" w:hAnsi="宋体" w:eastAsia="仿宋_GB2312"/>
          <w:color w:val="000000" w:themeColor="text1"/>
          <w:spacing w:val="0"/>
          <w:sz w:val="24"/>
          <w:highlight w:val="none"/>
          <w14:textFill>
            <w14:solidFill>
              <w14:schemeClr w14:val="tx1"/>
            </w14:solidFill>
          </w14:textFill>
        </w:rPr>
        <w:t>的方式向</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甲方</w:t>
      </w:r>
      <w:r>
        <w:rPr>
          <w:rFonts w:hint="eastAsia" w:ascii="仿宋_GB2312" w:hAnsi="宋体" w:eastAsia="仿宋_GB2312"/>
          <w:color w:val="000000" w:themeColor="text1"/>
          <w:spacing w:val="0"/>
          <w:sz w:val="24"/>
          <w:highlight w:val="none"/>
          <w14:textFill>
            <w14:solidFill>
              <w14:schemeClr w14:val="tx1"/>
            </w14:solidFill>
          </w14:textFill>
        </w:rPr>
        <w:t>支付租金，按该方式支付的款项均以</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甲方</w:t>
      </w:r>
      <w:r>
        <w:rPr>
          <w:rFonts w:hint="eastAsia" w:ascii="仿宋_GB2312" w:hAnsi="宋体" w:eastAsia="仿宋_GB2312"/>
          <w:color w:val="000000" w:themeColor="text1"/>
          <w:spacing w:val="0"/>
          <w:sz w:val="24"/>
          <w:highlight w:val="none"/>
          <w14:textFill>
            <w14:solidFill>
              <w14:schemeClr w14:val="tx1"/>
            </w14:solidFill>
          </w14:textFill>
        </w:rPr>
        <w:t>或</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甲方</w:t>
      </w:r>
      <w:r>
        <w:rPr>
          <w:rFonts w:hint="eastAsia" w:ascii="仿宋_GB2312" w:hAnsi="宋体" w:eastAsia="仿宋_GB2312"/>
          <w:color w:val="000000" w:themeColor="text1"/>
          <w:spacing w:val="0"/>
          <w:sz w:val="24"/>
          <w:highlight w:val="none"/>
          <w14:textFill>
            <w14:solidFill>
              <w14:schemeClr w14:val="tx1"/>
            </w14:solidFill>
          </w14:textFill>
        </w:rPr>
        <w:t>指定银行</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账户</w:t>
      </w:r>
      <w:r>
        <w:rPr>
          <w:rFonts w:hint="eastAsia" w:ascii="仿宋_GB2312" w:hAnsi="宋体" w:eastAsia="仿宋_GB2312"/>
          <w:color w:val="000000" w:themeColor="text1"/>
          <w:spacing w:val="0"/>
          <w:sz w:val="24"/>
          <w:highlight w:val="none"/>
          <w14:textFill>
            <w14:solidFill>
              <w14:schemeClr w14:val="tx1"/>
            </w14:solidFill>
          </w14:textFill>
        </w:rPr>
        <w:t>实际收到款项之日为付款日。</w:t>
      </w:r>
    </w:p>
    <w:p w14:paraId="7BF249C5">
      <w:pPr>
        <w:pStyle w:val="2"/>
        <w:rPr>
          <w:rFonts w:hint="eastAsia"/>
        </w:rPr>
      </w:pPr>
    </w:p>
    <w:p w14:paraId="04CDD167">
      <w:pPr>
        <w:spacing w:line="440" w:lineRule="exact"/>
        <w:ind w:firstLine="0" w:firstLineChars="0"/>
        <w:jc w:val="left"/>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lang w:bidi="ar-SA"/>
          <w14:textFill>
            <w14:solidFill>
              <w14:schemeClr w14:val="tx1"/>
            </w14:solidFill>
          </w14:textFill>
        </w:rPr>
        <w:t>第</w:t>
      </w:r>
      <w:r>
        <w:rPr>
          <w:rFonts w:hint="eastAsia" w:ascii="黑体" w:hAnsi="黑体" w:eastAsia="黑体" w:cs="Times New Roman"/>
          <w:color w:val="000000" w:themeColor="text1"/>
          <w:sz w:val="24"/>
          <w:highlight w:val="none"/>
          <w:lang w:val="en-US" w:eastAsia="zh-CN" w:bidi="ar-SA"/>
          <w14:textFill>
            <w14:solidFill>
              <w14:schemeClr w14:val="tx1"/>
            </w14:solidFill>
          </w14:textFill>
        </w:rPr>
        <w:t>十一</w:t>
      </w:r>
      <w:r>
        <w:rPr>
          <w:rFonts w:hint="eastAsia" w:ascii="黑体" w:hAnsi="黑体" w:eastAsia="黑体" w:cs="Times New Roman"/>
          <w:color w:val="000000" w:themeColor="text1"/>
          <w:sz w:val="24"/>
          <w:highlight w:val="none"/>
          <w:lang w:bidi="ar-SA"/>
          <w14:textFill>
            <w14:solidFill>
              <w14:schemeClr w14:val="tx1"/>
            </w14:solidFill>
          </w14:textFill>
        </w:rPr>
        <w:t>条</w:t>
      </w:r>
      <w:r>
        <w:rPr>
          <w:rFonts w:hint="eastAsia" w:ascii="黑体" w:hAnsi="黑体" w:eastAsia="黑体" w:cs="Times New Roman"/>
          <w:color w:val="000000" w:themeColor="text1"/>
          <w:sz w:val="24"/>
          <w:highlight w:val="none"/>
          <w:lang w:val="en-US" w:eastAsia="zh-CN" w:bidi="ar-SA"/>
          <w14:textFill>
            <w14:solidFill>
              <w14:schemeClr w14:val="tx1"/>
            </w14:solidFill>
          </w14:textFill>
        </w:rPr>
        <w:t xml:space="preserve"> </w:t>
      </w:r>
      <w:r>
        <w:rPr>
          <w:rFonts w:hint="eastAsia" w:ascii="黑体" w:hAnsi="黑体" w:eastAsia="黑体" w:cs="Times New Roman"/>
          <w:color w:val="000000" w:themeColor="text1"/>
          <w:sz w:val="24"/>
          <w:highlight w:val="none"/>
          <w:lang w:bidi="ar-SA"/>
          <w14:textFill>
            <w14:solidFill>
              <w14:schemeClr w14:val="tx1"/>
            </w14:solidFill>
          </w14:textFill>
        </w:rPr>
        <w:t>进入房屋和/或场地</w:t>
      </w:r>
    </w:p>
    <w:p w14:paraId="7B6752C0">
      <w:pPr>
        <w:spacing w:line="440" w:lineRule="exact"/>
        <w:ind w:firstLine="480" w:firstLineChars="200"/>
        <w:rPr>
          <w:rFonts w:hint="eastAsia" w:ascii="仿宋_GB2312" w:hAnsi="宋体" w:eastAsia="仿宋_GB2312" w:cs="Times New Roman"/>
          <w:color w:val="000000" w:themeColor="text1"/>
          <w:sz w:val="24"/>
          <w:szCs w:val="24"/>
          <w:highlight w:val="none"/>
          <w:u w:val="none"/>
          <w:lang w:bidi="ar-SA"/>
          <w14:textFill>
            <w14:solidFill>
              <w14:schemeClr w14:val="tx1"/>
            </w14:solidFill>
          </w14:textFill>
        </w:rPr>
      </w:pPr>
      <w:r>
        <w:rPr>
          <w:rFonts w:hint="default" w:ascii="仿宋_GB2312" w:hAnsi="宋体" w:eastAsia="仿宋_GB2312" w:cs="Times New Roman"/>
          <w:color w:val="000000" w:themeColor="text1"/>
          <w:sz w:val="24"/>
          <w:szCs w:val="24"/>
          <w:highlight w:val="none"/>
          <w:u w:val="none"/>
          <w:lang w:eastAsia="zh-CN"/>
          <w14:textFill>
            <w14:solidFill>
              <w14:schemeClr w14:val="tx1"/>
            </w14:solidFill>
          </w14:textFill>
        </w:rPr>
        <w:t>1</w:t>
      </w:r>
      <w:r>
        <w:rPr>
          <w:rFonts w:hint="default" w:ascii="仿宋_GB2312" w:hAnsi="宋体" w:eastAsia="仿宋_GB2312" w:cs="Times New Roman"/>
          <w:color w:val="000000" w:themeColor="text1"/>
          <w:sz w:val="24"/>
          <w:szCs w:val="24"/>
          <w:highlight w:val="none"/>
          <w:u w:val="none"/>
          <w:lang w:val="en-US" w:eastAsia="zh-CN"/>
          <w14:textFill>
            <w14:solidFill>
              <w14:schemeClr w14:val="tx1"/>
            </w14:solidFill>
          </w14:textFill>
        </w:rPr>
        <w:t xml:space="preserve">1.1. </w:t>
      </w:r>
      <w:r>
        <w:rPr>
          <w:rFonts w:hint="default" w:ascii="仿宋_GB2312" w:hAnsi="宋体" w:eastAsia="仿宋_GB2312"/>
          <w:color w:val="000000" w:themeColor="text1"/>
          <w:sz w:val="24"/>
          <w:szCs w:val="24"/>
          <w:highlight w:val="none"/>
          <w:u w:val="none"/>
          <w14:textFill>
            <w14:solidFill>
              <w14:schemeClr w14:val="tx1"/>
            </w14:solidFill>
          </w14:textFill>
        </w:rPr>
        <w:t>甲方的从业人员因维修、检查、安装等需进入乙方所租房屋和</w:t>
      </w:r>
      <w:r>
        <w:rPr>
          <w:rFonts w:hint="eastAsia" w:ascii="仿宋_GB2312" w:hAnsi="宋体" w:eastAsia="仿宋_GB2312"/>
          <w:color w:val="000000" w:themeColor="text1"/>
          <w:sz w:val="24"/>
          <w:szCs w:val="24"/>
          <w:highlight w:val="none"/>
          <w:u w:val="none"/>
          <w14:textFill>
            <w14:solidFill>
              <w14:schemeClr w14:val="tx1"/>
            </w14:solidFill>
          </w14:textFill>
        </w:rPr>
        <w:t>/</w:t>
      </w:r>
      <w:r>
        <w:rPr>
          <w:rFonts w:hint="default" w:ascii="仿宋_GB2312" w:hAnsi="宋体" w:eastAsia="仿宋_GB2312"/>
          <w:color w:val="000000" w:themeColor="text1"/>
          <w:sz w:val="24"/>
          <w:szCs w:val="24"/>
          <w:highlight w:val="none"/>
          <w:u w:val="none"/>
          <w14:textFill>
            <w14:solidFill>
              <w14:schemeClr w14:val="tx1"/>
            </w14:solidFill>
          </w14:textFill>
        </w:rPr>
        <w:t>或场地时，应预先通知乙方。如发生紧急情况，甲方来不及预先通知时，无论乙方有无值守人员，均可直接进入房屋和</w:t>
      </w:r>
      <w:r>
        <w:rPr>
          <w:rFonts w:hint="eastAsia" w:ascii="仿宋_GB2312" w:hAnsi="宋体" w:eastAsia="仿宋_GB2312"/>
          <w:color w:val="000000" w:themeColor="text1"/>
          <w:sz w:val="24"/>
          <w:szCs w:val="24"/>
          <w:highlight w:val="none"/>
          <w:u w:val="none"/>
          <w14:textFill>
            <w14:solidFill>
              <w14:schemeClr w14:val="tx1"/>
            </w14:solidFill>
          </w14:textFill>
        </w:rPr>
        <w:t>/</w:t>
      </w:r>
      <w:r>
        <w:rPr>
          <w:rFonts w:hint="default" w:ascii="仿宋_GB2312" w:hAnsi="宋体" w:eastAsia="仿宋_GB2312"/>
          <w:color w:val="000000" w:themeColor="text1"/>
          <w:sz w:val="24"/>
          <w:szCs w:val="24"/>
          <w:highlight w:val="none"/>
          <w:u w:val="none"/>
          <w14:textFill>
            <w14:solidFill>
              <w14:schemeClr w14:val="tx1"/>
            </w14:solidFill>
          </w14:textFill>
        </w:rPr>
        <w:t>或场地处理紧急情况。上述情况发生时，乙方须协助甲方采取应急措施。</w:t>
      </w:r>
    </w:p>
    <w:p w14:paraId="03AEEA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u w:val="none"/>
          <w14:textFill>
            <w14:solidFill>
              <w14:schemeClr w14:val="tx1"/>
            </w14:solidFill>
          </w14:textFill>
        </w:rPr>
      </w:pPr>
      <w:r>
        <w:rPr>
          <w:rFonts w:hint="eastAsia" w:ascii="仿宋_GB2312" w:hAnsi="宋体" w:eastAsia="仿宋_GB2312"/>
          <w:color w:val="000000" w:themeColor="text1"/>
          <w:sz w:val="24"/>
          <w:szCs w:val="24"/>
          <w:highlight w:val="none"/>
          <w:u w:val="none"/>
          <w:lang w:eastAsia="zh-CN"/>
          <w14:textFill>
            <w14:solidFill>
              <w14:schemeClr w14:val="tx1"/>
            </w14:solidFill>
          </w14:textFill>
        </w:rPr>
        <w:t>1</w:t>
      </w:r>
      <w:r>
        <w:rPr>
          <w:rFonts w:hint="eastAsia" w:ascii="仿宋_GB2312" w:hAnsi="宋体" w:eastAsia="仿宋_GB2312"/>
          <w:color w:val="000000" w:themeColor="text1"/>
          <w:sz w:val="24"/>
          <w:szCs w:val="24"/>
          <w:highlight w:val="none"/>
          <w:u w:val="none"/>
          <w:lang w:val="en-US" w:eastAsia="zh-CN"/>
          <w14:textFill>
            <w14:solidFill>
              <w14:schemeClr w14:val="tx1"/>
            </w14:solidFill>
          </w14:textFill>
        </w:rPr>
        <w:t xml:space="preserve">1.2. </w:t>
      </w:r>
      <w:r>
        <w:rPr>
          <w:rFonts w:hint="default" w:ascii="仿宋_GB2312" w:hAnsi="宋体" w:eastAsia="仿宋_GB2312"/>
          <w:color w:val="000000" w:themeColor="text1"/>
          <w:sz w:val="24"/>
          <w:szCs w:val="24"/>
          <w:highlight w:val="none"/>
          <w:u w:val="none"/>
          <w14:textFill>
            <w14:solidFill>
              <w14:schemeClr w14:val="tx1"/>
            </w14:solidFill>
          </w14:textFill>
        </w:rPr>
        <w:t>本合同租赁期满</w:t>
      </w:r>
      <w:r>
        <w:rPr>
          <w:rFonts w:hint="default" w:ascii="仿宋_GB2312" w:hAnsi="宋体" w:eastAsia="仿宋_GB2312"/>
          <w:color w:val="000000" w:themeColor="text1"/>
          <w:sz w:val="24"/>
          <w:szCs w:val="24"/>
          <w:highlight w:val="none"/>
          <w:u w:val="none"/>
          <w:lang w:val="en-US" w:eastAsia="zh-CN"/>
          <w14:textFill>
            <w14:solidFill>
              <w14:schemeClr w14:val="tx1"/>
            </w14:solidFill>
          </w14:textFill>
        </w:rPr>
        <w:t>前180日内</w:t>
      </w:r>
      <w:r>
        <w:rPr>
          <w:rFonts w:hint="default" w:ascii="仿宋_GB2312" w:hAnsi="宋体" w:eastAsia="仿宋_GB2312"/>
          <w:color w:val="000000" w:themeColor="text1"/>
          <w:sz w:val="24"/>
          <w:szCs w:val="24"/>
          <w:highlight w:val="none"/>
          <w:u w:val="none"/>
          <w14:textFill>
            <w14:solidFill>
              <w14:schemeClr w14:val="tx1"/>
            </w14:solidFill>
          </w14:textFill>
        </w:rPr>
        <w:t>，甲方可在提前一日通知乙方的情况下，陪同新租户参观</w:t>
      </w:r>
      <w:r>
        <w:rPr>
          <w:rFonts w:hint="default" w:ascii="仿宋_GB2312" w:hAnsi="宋体" w:eastAsia="仿宋_GB2312"/>
          <w:color w:val="000000" w:themeColor="text1"/>
          <w:sz w:val="24"/>
          <w:szCs w:val="24"/>
          <w:highlight w:val="none"/>
          <w:u w:val="none"/>
          <w:lang w:val="en-US" w:eastAsia="zh-CN"/>
          <w14:textFill>
            <w14:solidFill>
              <w14:schemeClr w14:val="tx1"/>
            </w14:solidFill>
          </w14:textFill>
        </w:rPr>
        <w:t>租赁</w:t>
      </w:r>
      <w:r>
        <w:rPr>
          <w:rFonts w:hint="eastAsia" w:ascii="仿宋_GB2312" w:hAnsi="宋体" w:eastAsia="仿宋_GB2312"/>
          <w:color w:val="000000" w:themeColor="text1"/>
          <w:sz w:val="24"/>
          <w:szCs w:val="24"/>
          <w:highlight w:val="none"/>
          <w:u w:val="none"/>
          <w:lang w:val="en-US" w:eastAsia="zh-CN"/>
          <w14:textFill>
            <w14:solidFill>
              <w14:schemeClr w14:val="tx1"/>
            </w14:solidFill>
          </w14:textFill>
        </w:rPr>
        <w:t>资产</w:t>
      </w:r>
      <w:r>
        <w:rPr>
          <w:rFonts w:hint="default" w:ascii="仿宋_GB2312" w:hAnsi="宋体" w:eastAsia="仿宋_GB2312"/>
          <w:color w:val="000000" w:themeColor="text1"/>
          <w:sz w:val="24"/>
          <w:szCs w:val="24"/>
          <w:highlight w:val="none"/>
          <w:u w:val="none"/>
          <w14:textFill>
            <w14:solidFill>
              <w14:schemeClr w14:val="tx1"/>
            </w14:solidFill>
          </w14:textFill>
        </w:rPr>
        <w:t>，乙方不得反对，并应向甲方提供协助。</w:t>
      </w:r>
    </w:p>
    <w:p w14:paraId="1CD5D8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4BFB02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十二</w:t>
      </w:r>
      <w:r>
        <w:rPr>
          <w:rFonts w:hint="eastAsia" w:ascii="黑体" w:hAnsi="黑体" w:eastAsia="黑体"/>
          <w:color w:val="000000" w:themeColor="text1"/>
          <w:spacing w:val="0"/>
          <w:sz w:val="24"/>
          <w:highlight w:val="none"/>
          <w14:textFill>
            <w14:solidFill>
              <w14:schemeClr w14:val="tx1"/>
            </w14:solidFill>
          </w14:textFill>
        </w:rPr>
        <w:t>条 甲方权利与义务</w:t>
      </w:r>
    </w:p>
    <w:p w14:paraId="094F32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12.1. 甲方的权利：</w:t>
      </w:r>
    </w:p>
    <w:p w14:paraId="442767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12.1.1. 按本合同及相关补充协议约定收取费用。</w:t>
      </w:r>
    </w:p>
    <w:p w14:paraId="4BB6E7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FF0000"/>
          <w:spacing w:val="0"/>
          <w:sz w:val="24"/>
          <w:highlight w:val="none"/>
          <w:u w:val="single"/>
          <w:lang w:val="en-US" w:eastAsia="zh-CN"/>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12.1.2. 若乙方未按本合同及相关补充协议约定按时足额支付</w:t>
      </w:r>
      <w:r>
        <w:rPr>
          <w:rFonts w:hint="eastAsia" w:ascii="仿宋_GB2312" w:hAnsi="仿宋_GB2312" w:eastAsia="仿宋_GB2312" w:cs="仿宋_GB2312"/>
          <w:color w:val="000000" w:themeColor="text1"/>
          <w:spacing w:val="0"/>
          <w:sz w:val="24"/>
          <w:highlight w:val="none"/>
          <w:u w:val="none"/>
          <w14:textFill>
            <w14:solidFill>
              <w14:schemeClr w14:val="tx1"/>
            </w14:solidFill>
          </w14:textFill>
        </w:rPr>
        <w:t>租金、</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综合管理费、物业服务费、履约保证金、水费、电费、气费、</w:t>
      </w:r>
      <w:r>
        <w:rPr>
          <w:rFonts w:hint="eastAsia" w:ascii="仿宋_GB2312" w:hAnsi="仿宋_GB2312" w:eastAsia="仿宋_GB2312" w:cs="仿宋_GB2312"/>
          <w:color w:val="000000" w:themeColor="text1"/>
          <w:spacing w:val="0"/>
          <w:sz w:val="24"/>
          <w:highlight w:val="none"/>
          <w:u w:val="none"/>
          <w14:textFill>
            <w14:solidFill>
              <w14:schemeClr w14:val="tx1"/>
            </w14:solidFill>
          </w14:textFill>
        </w:rPr>
        <w:t>违约金、</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占用费、赔偿金、</w:t>
      </w:r>
      <w:r>
        <w:rPr>
          <w:rFonts w:hint="eastAsia" w:ascii="仿宋_GB2312" w:hAnsi="仿宋_GB2312" w:eastAsia="仿宋_GB2312" w:cs="仿宋_GB2312"/>
          <w:color w:val="000000" w:themeColor="text1"/>
          <w:spacing w:val="0"/>
          <w:sz w:val="24"/>
          <w:highlight w:val="none"/>
          <w:u w:val="none"/>
          <w:lang w:eastAsia="zh-CN"/>
          <w14:textFill>
            <w14:solidFill>
              <w14:schemeClr w14:val="tx1"/>
            </w14:solidFill>
          </w14:textFill>
        </w:rPr>
        <w:t>维修复原费</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以及其他</w:t>
      </w:r>
      <w:r>
        <w:rPr>
          <w:rFonts w:hint="eastAsia" w:ascii="仿宋_GB2312" w:hAnsi="仿宋_GB2312" w:eastAsia="仿宋_GB2312" w:cs="仿宋_GB2312"/>
          <w:color w:val="000000" w:themeColor="text1"/>
          <w:spacing w:val="0"/>
          <w:sz w:val="24"/>
          <w:highlight w:val="none"/>
          <w:u w:val="none"/>
          <w14:textFill>
            <w14:solidFill>
              <w14:schemeClr w14:val="tx1"/>
            </w14:solidFill>
          </w14:textFill>
        </w:rPr>
        <w:t>应由乙方承担的费用</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或经济责任时</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，甲方有权采取以下措施维护甲方的合法权益以催收相关</w:t>
      </w:r>
      <w:r>
        <w:rPr>
          <w:rFonts w:hint="eastAsia" w:ascii="仿宋_GB2312" w:hAnsi="仿宋_GB2312" w:eastAsia="仿宋_GB2312" w:cs="仿宋_GB2312"/>
          <w:color w:val="000000" w:themeColor="text1"/>
          <w:spacing w:val="0"/>
          <w:sz w:val="24"/>
          <w:highlight w:val="none"/>
          <w:u w:val="none"/>
          <w:lang w:val="en-US" w:eastAsia="zh-CN"/>
          <w14:textFill>
            <w14:solidFill>
              <w14:schemeClr w14:val="tx1"/>
            </w14:solidFill>
          </w14:textFill>
        </w:rPr>
        <w:t>费用，由此造成的一切损失和责任由乙方自行承担：（1）暂停租赁资产的经营活动；（2）对租赁资产停止水、电、气等能源供应；（3）封锁租赁资产出入口，禁止人员及物品通行。</w:t>
      </w:r>
    </w:p>
    <w:p w14:paraId="0D12D3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12.1.3. 若乙方不履行、不完全履行或违反本</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合同及相关补充协议约定，甲方有权单方面解除或终止本合同，并追究乙方违约责任。</w:t>
      </w:r>
    </w:p>
    <w:p w14:paraId="503744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12.1.4. 享有法律、法规、规章和规范性文件的规定和本合同及相关补充协议约定的其他权利。</w:t>
      </w:r>
    </w:p>
    <w:p w14:paraId="3A72E2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12.2. 甲方的义务：</w:t>
      </w:r>
    </w:p>
    <w:p w14:paraId="2D8C8B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12.2.1. 按资产现状将租赁资产出租给乙方。</w:t>
      </w:r>
    </w:p>
    <w:p w14:paraId="2A4F5F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12.2.2. </w:t>
      </w:r>
      <w:r>
        <w:rPr>
          <w:rFonts w:hint="eastAsia" w:ascii="仿宋_GB2312" w:hAnsi="宋体" w:eastAsia="仿宋_GB2312"/>
          <w:color w:val="000000" w:themeColor="text1"/>
          <w:spacing w:val="0"/>
          <w:sz w:val="24"/>
          <w:highlight w:val="none"/>
          <w14:textFill>
            <w14:solidFill>
              <w14:schemeClr w14:val="tx1"/>
            </w14:solidFill>
          </w14:textFill>
        </w:rPr>
        <w:t>确保乙方在租赁期间对租赁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享有稳定的、持续的</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使用</w:t>
      </w:r>
      <w:r>
        <w:rPr>
          <w:rFonts w:hint="eastAsia" w:ascii="仿宋_GB2312" w:hAnsi="宋体" w:eastAsia="仿宋_GB2312"/>
          <w:color w:val="000000" w:themeColor="text1"/>
          <w:spacing w:val="0"/>
          <w:sz w:val="24"/>
          <w:highlight w:val="none"/>
          <w14:textFill>
            <w14:solidFill>
              <w14:schemeClr w14:val="tx1"/>
            </w14:solidFill>
          </w14:textFill>
        </w:rPr>
        <w:t>权和经营</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管理</w:t>
      </w:r>
      <w:r>
        <w:rPr>
          <w:rFonts w:hint="eastAsia" w:ascii="仿宋_GB2312" w:hAnsi="宋体" w:eastAsia="仿宋_GB2312"/>
          <w:color w:val="000000" w:themeColor="text1"/>
          <w:spacing w:val="0"/>
          <w:sz w:val="24"/>
          <w:highlight w:val="none"/>
          <w14:textFill>
            <w14:solidFill>
              <w14:schemeClr w14:val="tx1"/>
            </w14:solidFill>
          </w14:textFill>
        </w:rPr>
        <w:t>权</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6B256F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12.2.3. 不得干涉乙方符合本合同及相关补充协议约定且正当合法的经营活动。</w:t>
      </w:r>
    </w:p>
    <w:p w14:paraId="2F5AB4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12.2.4. </w:t>
      </w:r>
      <w:r>
        <w:rPr>
          <w:rFonts w:hint="eastAsia" w:ascii="仿宋_GB2312" w:hAnsi="宋体" w:eastAsia="仿宋_GB2312"/>
          <w:color w:val="000000" w:themeColor="text1"/>
          <w:spacing w:val="0"/>
          <w:sz w:val="24"/>
          <w:highlight w:val="none"/>
          <w14:textFill>
            <w14:solidFill>
              <w14:schemeClr w14:val="tx1"/>
            </w14:solidFill>
          </w14:textFill>
        </w:rPr>
        <w:t>配合</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乙方向</w:t>
      </w:r>
      <w:r>
        <w:rPr>
          <w:rFonts w:hint="eastAsia" w:ascii="仿宋_GB2312" w:hAnsi="宋体" w:eastAsia="仿宋_GB2312"/>
          <w:color w:val="000000" w:themeColor="text1"/>
          <w:spacing w:val="0"/>
          <w:sz w:val="24"/>
          <w:highlight w:val="none"/>
          <w14:textFill>
            <w14:solidFill>
              <w14:schemeClr w14:val="tx1"/>
            </w14:solidFill>
          </w14:textFill>
        </w:rPr>
        <w:t>其提供</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涉及租赁资产</w:t>
      </w:r>
      <w:r>
        <w:rPr>
          <w:rFonts w:hint="eastAsia" w:ascii="仿宋_GB2312" w:hAnsi="宋体" w:eastAsia="仿宋_GB2312"/>
          <w:color w:val="000000" w:themeColor="text1"/>
          <w:spacing w:val="0"/>
          <w:sz w:val="24"/>
          <w:highlight w:val="none"/>
          <w14:textFill>
            <w14:solidFill>
              <w14:schemeClr w14:val="tx1"/>
            </w14:solidFill>
          </w14:textFill>
        </w:rPr>
        <w:t>经营办证所需要的相关资料</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4BBAF8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12.2.5. 配合政府有关职能部门对乙方的经营进行监督管理。</w:t>
      </w:r>
    </w:p>
    <w:p w14:paraId="57FCF7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p>
    <w:p w14:paraId="532CC6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第十</w:t>
      </w:r>
      <w:r>
        <w:rPr>
          <w:rFonts w:hint="eastAsia" w:ascii="黑体" w:hAnsi="黑体" w:eastAsia="黑体"/>
          <w:color w:val="000000" w:themeColor="text1"/>
          <w:spacing w:val="0"/>
          <w:sz w:val="24"/>
          <w:highlight w:val="none"/>
          <w:lang w:val="en-US" w:eastAsia="zh-CN"/>
          <w14:textFill>
            <w14:solidFill>
              <w14:schemeClr w14:val="tx1"/>
            </w14:solidFill>
          </w14:textFill>
        </w:rPr>
        <w:t>三</w:t>
      </w:r>
      <w:r>
        <w:rPr>
          <w:rFonts w:hint="eastAsia" w:ascii="黑体" w:hAnsi="黑体" w:eastAsia="黑体"/>
          <w:color w:val="000000" w:themeColor="text1"/>
          <w:spacing w:val="0"/>
          <w:sz w:val="24"/>
          <w:highlight w:val="none"/>
          <w14:textFill>
            <w14:solidFill>
              <w14:schemeClr w14:val="tx1"/>
            </w14:solidFill>
          </w14:textFill>
        </w:rPr>
        <w:t>条 乙方权利与义务</w:t>
      </w:r>
    </w:p>
    <w:p w14:paraId="181929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13.1. 乙方的权利：</w:t>
      </w:r>
    </w:p>
    <w:p w14:paraId="795FA1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13.1.1. 租赁期内享有租赁资产的使用权，享有本合同及相关补充协议约定的自主、合法经营权以及法律、法规规定和本合同及相关补充协议约定的其他权利。</w:t>
      </w:r>
    </w:p>
    <w:p w14:paraId="25221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13.1.2. 向甲方支付相关费用后，有权向甲方索要发票或收据</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w:t>
      </w:r>
    </w:p>
    <w:p w14:paraId="0D4A59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13.2. 乙方的义务：</w:t>
      </w:r>
    </w:p>
    <w:p w14:paraId="201F339D">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13.2.1. 按本合同及相关补充协议约定按时足额支付</w:t>
      </w:r>
      <w:r>
        <w:rPr>
          <w:rFonts w:hint="eastAsia" w:ascii="仿宋_GB2312" w:hAnsi="仿宋_GB2312" w:eastAsia="仿宋_GB2312" w:cs="仿宋_GB2312"/>
          <w:color w:val="000000" w:themeColor="text1"/>
          <w:spacing w:val="0"/>
          <w:sz w:val="24"/>
          <w:highlight w:val="none"/>
          <w14:textFill>
            <w14:solidFill>
              <w14:schemeClr w14:val="tx1"/>
            </w14:solidFill>
          </w14:textFill>
        </w:rPr>
        <w:t>租金、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综合管理费、物业服务费、履约保证金、水费、电费、气费、</w:t>
      </w:r>
      <w:r>
        <w:rPr>
          <w:rFonts w:hint="eastAsia" w:ascii="仿宋_GB2312" w:hAnsi="仿宋_GB2312" w:eastAsia="仿宋_GB2312" w:cs="仿宋_GB2312"/>
          <w:color w:val="000000" w:themeColor="text1"/>
          <w:spacing w:val="0"/>
          <w:sz w:val="24"/>
          <w:highlight w:val="none"/>
          <w14:textFill>
            <w14:solidFill>
              <w14:schemeClr w14:val="tx1"/>
            </w14:solidFill>
          </w14:textFill>
        </w:rPr>
        <w:t>违约金、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占用费、赔偿金、</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维修复原费</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以及其他</w:t>
      </w:r>
      <w:r>
        <w:rPr>
          <w:rFonts w:hint="eastAsia" w:ascii="仿宋_GB2312" w:hAnsi="仿宋_GB2312" w:eastAsia="仿宋_GB2312" w:cs="仿宋_GB2312"/>
          <w:color w:val="000000" w:themeColor="text1"/>
          <w:spacing w:val="0"/>
          <w:sz w:val="24"/>
          <w:highlight w:val="none"/>
          <w14:textFill>
            <w14:solidFill>
              <w14:schemeClr w14:val="tx1"/>
            </w14:solidFill>
          </w14:textFill>
        </w:rPr>
        <w:t>应由乙方承担的费用</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或经济责任</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w:t>
      </w:r>
    </w:p>
    <w:p w14:paraId="350267C0">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13.2.2.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负责租赁期间与租赁资产相关的设施设备的维修维护，并承担由此产生的相关费用。</w:t>
      </w:r>
    </w:p>
    <w:p w14:paraId="3D0143FF">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13.2.3. </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14:textFill>
            <w14:solidFill>
              <w14:schemeClr w14:val="tx1"/>
            </w14:solidFill>
          </w14:textFill>
        </w:rPr>
        <w:t>当妥善保管租赁</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资产</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14:textFill>
            <w14:solidFill>
              <w14:schemeClr w14:val="tx1"/>
            </w14:solidFill>
          </w14:textFill>
        </w:rPr>
        <w:t>，因保管不善造成租赁</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资产</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14:textFill>
            <w14:solidFill>
              <w14:schemeClr w14:val="tx1"/>
            </w14:solidFill>
          </w14:textFill>
        </w:rPr>
        <w:t>毁损、灭失的，应当承担赔偿责任</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eastAsia="zh-CN"/>
          <w14:textFill>
            <w14:solidFill>
              <w14:schemeClr w14:val="tx1"/>
            </w14:solidFill>
          </w14:textFill>
        </w:rPr>
        <w:t>。</w:t>
      </w:r>
    </w:p>
    <w:p w14:paraId="7F51E45E">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13.2.4. </w:t>
      </w:r>
      <w:r>
        <w:rPr>
          <w:rFonts w:hint="eastAsia" w:ascii="仿宋_GB2312" w:hAnsi="宋体" w:eastAsia="仿宋_GB2312"/>
          <w:color w:val="000000" w:themeColor="text1"/>
          <w:spacing w:val="0"/>
          <w:sz w:val="24"/>
          <w:highlight w:val="none"/>
          <w14:textFill>
            <w14:solidFill>
              <w14:schemeClr w14:val="tx1"/>
            </w14:solidFill>
          </w14:textFill>
        </w:rPr>
        <w:t>自行负责</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办理工商执照、税务登记、环保以及与经营内容有关的各项手续，向政府交纳国家规定的需乙方自行承担的费用，并自行承担违约、违法经营所引发的相关法律责任和经济责任。</w:t>
      </w:r>
    </w:p>
    <w:p w14:paraId="24CD88A7">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13.2.5. 不得在租赁区域外搭棚、外摆、占道，不得影响其他承租人及周边商家的正常经营，不得扰民。</w:t>
      </w:r>
    </w:p>
    <w:p w14:paraId="516BC0FF">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13.2.6. 在租赁区域内采取严格的安全防范措施，保障并负责租赁区域内的治安、消防和生命财产安全。</w:t>
      </w:r>
    </w:p>
    <w:p w14:paraId="0FE4C236">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13.2.7.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负责租赁期间租赁区域内涉及环保、卫生、垃圾、噪音、食品安全、消防及燃气安全等问题，如有违规或遭投诉，乙方需无条件、全力配合整改。</w:t>
      </w:r>
    </w:p>
    <w:p w14:paraId="0007FF0C">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13.2.8. </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按照本合同约定的租赁资产用途和使用要求，合法经营且恰当使用租赁资产，遵守国家的法律、法规、规章和规范性文件，不</w:t>
      </w:r>
      <w:r>
        <w:rPr>
          <w:rFonts w:hint="eastAsia" w:ascii="仿宋_GB2312" w:hAnsi="宋体" w:eastAsia="仿宋_GB2312"/>
          <w:color w:val="000000" w:themeColor="text1"/>
          <w:spacing w:val="0"/>
          <w:sz w:val="24"/>
          <w:highlight w:val="none"/>
          <w14:textFill>
            <w14:solidFill>
              <w14:schemeClr w14:val="tx1"/>
            </w14:solidFill>
          </w14:textFill>
        </w:rPr>
        <w:t>得从事违法乱纪活动</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3F710676">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13.2.9. 若乙方需对租赁资产进行装修改造或二次装修的，应当按甲方或甲方指定物业的要求进行装修、签订《租赁合同之装修保证协议》、遵守相关约定</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4BBDFF22">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13.2.10. 应当按相关单位要求负责防疫防控、门前五包等事项。</w:t>
      </w:r>
    </w:p>
    <w:p w14:paraId="34B2F775">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13.2.11. 应当接受政府有关职能部门对乙方经营活动的监督管理，对相关单位、甲方及甲方指定物业公司提出的书面整改要求予以按时落实。</w:t>
      </w:r>
    </w:p>
    <w:p w14:paraId="5915CEDF">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13.2.12. </w:t>
      </w:r>
      <w:r>
        <w:rPr>
          <w:rFonts w:hint="eastAsia" w:ascii="仿宋_GB2312" w:hAnsi="宋体" w:eastAsia="仿宋_GB2312"/>
          <w:color w:val="000000" w:themeColor="text1"/>
          <w:spacing w:val="0"/>
          <w:sz w:val="24"/>
          <w:highlight w:val="none"/>
          <w:lang w:eastAsia="zh-CN"/>
          <w14:textFill>
            <w14:solidFill>
              <w14:schemeClr w14:val="tx1"/>
            </w14:solidFill>
          </w14:textFill>
        </w:rPr>
        <w:t>因乙方使用</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租赁资产和经营</w:t>
      </w:r>
      <w:r>
        <w:rPr>
          <w:rFonts w:hint="eastAsia" w:ascii="仿宋_GB2312" w:hAnsi="宋体" w:eastAsia="仿宋_GB2312"/>
          <w:color w:val="000000" w:themeColor="text1"/>
          <w:spacing w:val="0"/>
          <w:sz w:val="24"/>
          <w:highlight w:val="none"/>
          <w:lang w:eastAsia="zh-CN"/>
          <w14:textFill>
            <w14:solidFill>
              <w14:schemeClr w14:val="tx1"/>
            </w14:solidFill>
          </w14:textFill>
        </w:rPr>
        <w:t>而产生的一切责任，由乙方自行承担，甲方不承担责任</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w:t>
      </w:r>
    </w:p>
    <w:p w14:paraId="1344CD16">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13.2.13. </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应当遵守本合同及相关补充协议的约定，并承担责任</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w:t>
      </w:r>
    </w:p>
    <w:p w14:paraId="589138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311108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十四</w:t>
      </w:r>
      <w:r>
        <w:rPr>
          <w:rFonts w:hint="eastAsia" w:ascii="黑体" w:hAnsi="黑体" w:eastAsia="黑体"/>
          <w:color w:val="000000" w:themeColor="text1"/>
          <w:spacing w:val="0"/>
          <w:sz w:val="24"/>
          <w:highlight w:val="none"/>
          <w14:textFill>
            <w14:solidFill>
              <w14:schemeClr w14:val="tx1"/>
            </w14:solidFill>
          </w14:textFill>
        </w:rPr>
        <w:t>条 其他约定</w:t>
      </w:r>
    </w:p>
    <w:p w14:paraId="2B9AA3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14.1. 租赁期间，甲方若转让租赁资产，应保证乙方对租赁资产的使用权。</w:t>
      </w:r>
    </w:p>
    <w:p w14:paraId="20D444AF">
      <w:pPr>
        <w:tabs>
          <w:tab w:val="left" w:pos="1440"/>
          <w:tab w:val="left" w:pos="1620"/>
        </w:tabs>
        <w:spacing w:line="360" w:lineRule="auto"/>
        <w:ind w:firstLine="480" w:firstLineChars="200"/>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14.2. 若乙方为有限公司或有限责任公司，乙方及乙方全体股东同意并保证就本合同及相关补充协议中乙方的所有义务和责任向甲方提供担保，并签署《租赁合同之担保协议》。</w:t>
      </w:r>
    </w:p>
    <w:p w14:paraId="2FB0265B">
      <w:pPr>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 xml:space="preserve">14.3. </w:t>
      </w:r>
      <w:r>
        <w:rPr>
          <w:rFonts w:hint="eastAsia" w:ascii="仿宋_GB2312" w:hAnsi="宋体" w:eastAsia="仿宋_GB2312" w:cs="Times New Roman"/>
          <w:color w:val="000000" w:themeColor="text1"/>
          <w:sz w:val="24"/>
          <w:szCs w:val="24"/>
          <w:highlight w:val="none"/>
          <w14:textFill>
            <w14:solidFill>
              <w14:schemeClr w14:val="tx1"/>
            </w14:solidFill>
          </w14:textFill>
        </w:rPr>
        <w:t>维修</w:t>
      </w:r>
    </w:p>
    <w:p w14:paraId="5C7B485E">
      <w:pPr>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14.3.</w:t>
      </w:r>
      <w:r>
        <w:rPr>
          <w:rFonts w:hint="eastAsia" w:ascii="仿宋_GB2312" w:hAnsi="宋体" w:eastAsia="仿宋_GB2312" w:cs="Times New Roman"/>
          <w:color w:val="000000" w:themeColor="text1"/>
          <w:sz w:val="24"/>
          <w:szCs w:val="24"/>
          <w:highlight w:val="none"/>
          <w14:textFill>
            <w14:solidFill>
              <w14:schemeClr w14:val="tx1"/>
            </w14:solidFill>
          </w14:textFill>
        </w:rPr>
        <w:t>1.</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 xml:space="preserve"> </w:t>
      </w:r>
      <w:r>
        <w:rPr>
          <w:rFonts w:hint="eastAsia" w:ascii="仿宋_GB2312" w:hAnsi="宋体" w:eastAsia="仿宋_GB2312" w:cs="Times New Roman"/>
          <w:color w:val="000000" w:themeColor="text1"/>
          <w:sz w:val="24"/>
          <w:szCs w:val="24"/>
          <w:highlight w:val="none"/>
          <w14:textFill>
            <w14:solidFill>
              <w14:schemeClr w14:val="tx1"/>
            </w14:solidFill>
          </w14:textFill>
        </w:rPr>
        <w:t>甲方负责对租赁标的主体结构及其附属设施进行日常维护维修，费用由甲方承担，但乙方使用不当造成的维修费用由乙方自行承担。</w:t>
      </w:r>
    </w:p>
    <w:p w14:paraId="7DE2D7C8">
      <w:pPr>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14.3.</w:t>
      </w:r>
      <w:r>
        <w:rPr>
          <w:rFonts w:hint="eastAsia" w:ascii="仿宋_GB2312" w:hAnsi="宋体" w:eastAsia="仿宋_GB2312" w:cs="Times New Roman"/>
          <w:color w:val="000000" w:themeColor="text1"/>
          <w:sz w:val="24"/>
          <w:szCs w:val="24"/>
          <w:highlight w:val="none"/>
          <w14:textFill>
            <w14:solidFill>
              <w14:schemeClr w14:val="tx1"/>
            </w14:solidFill>
          </w14:textFill>
        </w:rPr>
        <w:t>2.</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 xml:space="preserve"> </w:t>
      </w:r>
      <w:r>
        <w:rPr>
          <w:rFonts w:hint="eastAsia" w:ascii="仿宋_GB2312" w:hAnsi="宋体" w:eastAsia="仿宋_GB2312" w:cs="Times New Roman"/>
          <w:color w:val="000000" w:themeColor="text1"/>
          <w:sz w:val="24"/>
          <w:szCs w:val="24"/>
          <w:highlight w:val="none"/>
          <w14:textFill>
            <w14:solidFill>
              <w14:schemeClr w14:val="tx1"/>
            </w14:solidFill>
          </w14:textFill>
        </w:rPr>
        <w:t>乙方负责对装修改造部分、增设设备设施的维护维修，并承担相应费用。</w:t>
      </w:r>
    </w:p>
    <w:p w14:paraId="392F0C2B">
      <w:pPr>
        <w:spacing w:line="440" w:lineRule="exact"/>
        <w:ind w:firstLine="48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14.3.</w:t>
      </w:r>
      <w:r>
        <w:rPr>
          <w:rFonts w:hint="eastAsia" w:ascii="仿宋_GB2312" w:hAnsi="宋体" w:eastAsia="仿宋_GB2312" w:cs="Times New Roman"/>
          <w:color w:val="000000" w:themeColor="text1"/>
          <w:sz w:val="24"/>
          <w:szCs w:val="24"/>
          <w:highlight w:val="none"/>
          <w14:textFill>
            <w14:solidFill>
              <w14:schemeClr w14:val="tx1"/>
            </w14:solidFill>
          </w14:textFill>
        </w:rPr>
        <w:t>3.</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 xml:space="preserve"> </w:t>
      </w:r>
      <w:r>
        <w:rPr>
          <w:rFonts w:hint="eastAsia" w:ascii="仿宋_GB2312" w:hAnsi="宋体" w:eastAsia="仿宋_GB2312" w:cs="Times New Roman"/>
          <w:color w:val="000000" w:themeColor="text1"/>
          <w:sz w:val="24"/>
          <w:szCs w:val="24"/>
          <w:highlight w:val="none"/>
          <w14:textFill>
            <w14:solidFill>
              <w14:schemeClr w14:val="tx1"/>
            </w14:solidFill>
          </w14:textFill>
        </w:rPr>
        <w:t>因乙方原因造成租赁标的（包括但不限于主体结构、外内立面、甲方提供的设施设备）任何损坏的，乙方应及时通知甲方。甲方可自行安排修复或要求乙方负责维修，由此产生的费用均由乙方承担。</w:t>
      </w:r>
    </w:p>
    <w:p w14:paraId="2C901E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14.4. 租赁合同期满时，乙方未办理退租或续租手续的，视为乙方继续使用租赁资产，并向乙方收取租赁资产占用费，占用费按本合同约定租金规则计算，直至乙方办理退租或续租手续当日为止。</w:t>
      </w:r>
    </w:p>
    <w:p w14:paraId="275DC7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FF0000"/>
          <w:spacing w:val="0"/>
          <w:sz w:val="24"/>
          <w:highlight w:val="none"/>
          <w:u w:val="single"/>
          <w:lang w:val="en-US" w:eastAsia="zh-CN"/>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14.5. 乙方与相邻商户关于区域划分、设施的搭建、使用、拆除或使用租赁资产发生其他纠纷的，应自行、友好协商解决。</w:t>
      </w:r>
    </w:p>
    <w:p w14:paraId="1CD5A9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14.6. </w:t>
      </w:r>
      <w:r>
        <w:rPr>
          <w:rFonts w:hint="eastAsia" w:ascii="仿宋_GB2312" w:hAnsi="宋体" w:eastAsia="仿宋_GB2312"/>
          <w:color w:val="000000" w:themeColor="text1"/>
          <w:spacing w:val="0"/>
          <w:sz w:val="24"/>
          <w:highlight w:val="none"/>
          <w14:textFill>
            <w14:solidFill>
              <w14:schemeClr w14:val="tx1"/>
            </w14:solidFill>
          </w14:textFill>
        </w:rPr>
        <w:t>本合同履行过程中</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合同中载明的甲、乙双方</w:t>
      </w:r>
      <w:r>
        <w:rPr>
          <w:rFonts w:hint="eastAsia" w:ascii="仿宋_GB2312" w:hAnsi="宋体" w:eastAsia="仿宋_GB2312"/>
          <w:color w:val="000000" w:themeColor="text1"/>
          <w:spacing w:val="0"/>
          <w:sz w:val="24"/>
          <w:highlight w:val="none"/>
          <w14:textFill>
            <w14:solidFill>
              <w14:schemeClr w14:val="tx1"/>
            </w14:solidFill>
          </w14:textFill>
        </w:rPr>
        <w:t>住所</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开户行、账号、联系电话、联系邮箱</w:t>
      </w:r>
      <w:r>
        <w:rPr>
          <w:rFonts w:hint="eastAsia" w:ascii="仿宋_GB2312" w:hAnsi="宋体" w:eastAsia="仿宋_GB2312"/>
          <w:color w:val="000000" w:themeColor="text1"/>
          <w:spacing w:val="0"/>
          <w:sz w:val="24"/>
          <w:highlight w:val="none"/>
          <w14:textFill>
            <w14:solidFill>
              <w14:schemeClr w14:val="tx1"/>
            </w14:solidFill>
          </w14:textFill>
        </w:rPr>
        <w:t>发生变更的，应书面通知对方；一方未书面通知的，视为</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上述信息</w:t>
      </w:r>
      <w:r>
        <w:rPr>
          <w:rFonts w:hint="eastAsia" w:ascii="仿宋_GB2312" w:hAnsi="宋体" w:eastAsia="仿宋_GB2312"/>
          <w:color w:val="000000" w:themeColor="text1"/>
          <w:spacing w:val="0"/>
          <w:sz w:val="24"/>
          <w:highlight w:val="none"/>
          <w14:textFill>
            <w14:solidFill>
              <w14:schemeClr w14:val="tx1"/>
            </w14:solidFill>
          </w14:textFill>
        </w:rPr>
        <w:t>未发生变化。</w:t>
      </w:r>
    </w:p>
    <w:p w14:paraId="53D581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14.7. </w:t>
      </w:r>
      <w:r>
        <w:rPr>
          <w:rFonts w:hint="eastAsia" w:ascii="仿宋_GB2312" w:hAnsi="宋体" w:eastAsia="仿宋_GB2312"/>
          <w:color w:val="000000" w:themeColor="text1"/>
          <w:spacing w:val="0"/>
          <w:sz w:val="24"/>
          <w:highlight w:val="none"/>
          <w14:textFill>
            <w14:solidFill>
              <w14:schemeClr w14:val="tx1"/>
            </w14:solidFill>
          </w14:textFill>
        </w:rPr>
        <w:t>一方因对方违约而主张权利，其为实现权利所产生的费用（包括但不限于诉讼费、律师费、差旅费、保全费、保全保险等）由违约方承担。</w:t>
      </w:r>
    </w:p>
    <w:p w14:paraId="7D6E78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14.8. </w:t>
      </w:r>
      <w:r>
        <w:rPr>
          <w:rFonts w:hint="eastAsia" w:ascii="仿宋_GB2312" w:hAnsi="宋体" w:eastAsia="仿宋_GB2312"/>
          <w:color w:val="000000" w:themeColor="text1"/>
          <w:spacing w:val="0"/>
          <w:sz w:val="24"/>
          <w:highlight w:val="none"/>
          <w14:textFill>
            <w14:solidFill>
              <w14:schemeClr w14:val="tx1"/>
            </w14:solidFill>
          </w14:textFill>
        </w:rPr>
        <w:t>本合同已作明确约定的事项，以本合同为准；本合同未作明确约定或约定不清的事项，以国家相关法律</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法规、</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规章和规范性文件</w:t>
      </w:r>
      <w:r>
        <w:rPr>
          <w:rFonts w:hint="eastAsia" w:ascii="仿宋_GB2312" w:hAnsi="宋体" w:eastAsia="仿宋_GB2312"/>
          <w:color w:val="000000" w:themeColor="text1"/>
          <w:spacing w:val="0"/>
          <w:sz w:val="24"/>
          <w:highlight w:val="none"/>
          <w14:textFill>
            <w14:solidFill>
              <w14:schemeClr w14:val="tx1"/>
            </w14:solidFill>
          </w14:textFill>
        </w:rPr>
        <w:t>及社会公序良俗为准。</w:t>
      </w:r>
    </w:p>
    <w:p w14:paraId="26E179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06D62E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FF0000"/>
          <w:spacing w:val="0"/>
          <w:sz w:val="24"/>
          <w:highlight w:val="none"/>
          <w:lang w:eastAsia="zh-CN"/>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十五</w:t>
      </w:r>
      <w:r>
        <w:rPr>
          <w:rFonts w:hint="eastAsia" w:ascii="黑体" w:hAnsi="黑体" w:eastAsia="黑体"/>
          <w:color w:val="000000" w:themeColor="text1"/>
          <w:spacing w:val="0"/>
          <w:sz w:val="24"/>
          <w:highlight w:val="none"/>
          <w14:textFill>
            <w14:solidFill>
              <w14:schemeClr w14:val="tx1"/>
            </w14:solidFill>
          </w14:textFill>
        </w:rPr>
        <w:t>条 保密</w:t>
      </w:r>
      <w:r>
        <w:rPr>
          <w:rFonts w:hint="eastAsia" w:ascii="黑体" w:hAnsi="黑体" w:eastAsia="黑体"/>
          <w:color w:val="000000" w:themeColor="text1"/>
          <w:spacing w:val="0"/>
          <w:sz w:val="24"/>
          <w:highlight w:val="none"/>
          <w:lang w:val="en-US" w:eastAsia="zh-CN"/>
          <w14:textFill>
            <w14:solidFill>
              <w14:schemeClr w14:val="tx1"/>
            </w14:solidFill>
          </w14:textFill>
        </w:rPr>
        <w:t>条款</w:t>
      </w:r>
    </w:p>
    <w:p w14:paraId="6A6F70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15. 甲、乙</w:t>
      </w:r>
      <w:r>
        <w:rPr>
          <w:rFonts w:hint="eastAsia" w:ascii="仿宋_GB2312" w:hAnsi="宋体" w:eastAsia="仿宋_GB2312"/>
          <w:color w:val="000000" w:themeColor="text1"/>
          <w:spacing w:val="0"/>
          <w:sz w:val="24"/>
          <w:highlight w:val="none"/>
          <w14:textFill>
            <w14:solidFill>
              <w14:schemeClr w14:val="tx1"/>
            </w14:solidFill>
          </w14:textFill>
        </w:rPr>
        <w:t>双方对本合同内容及本合同谈判和履行过程中所知悉的对方商业秘密负有保密责任，除依法应向有关国家机关和依法聘请的中介机构提供以及依法必须对公众披露外，未经对方书面同意不得向第三方透露本合同</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及相关补充协议的</w:t>
      </w:r>
      <w:r>
        <w:rPr>
          <w:rFonts w:hint="eastAsia" w:ascii="仿宋_GB2312" w:hAnsi="宋体" w:eastAsia="仿宋_GB2312"/>
          <w:color w:val="000000" w:themeColor="text1"/>
          <w:spacing w:val="0"/>
          <w:sz w:val="24"/>
          <w:highlight w:val="none"/>
          <w14:textFill>
            <w14:solidFill>
              <w14:schemeClr w14:val="tx1"/>
            </w14:solidFill>
          </w14:textFill>
        </w:rPr>
        <w:t>内容和所知悉的对方商业秘密</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本合同及相关补充协议解除或终止或履行完毕后，双方仍需继续履行保密义务</w:t>
      </w:r>
      <w:r>
        <w:rPr>
          <w:rFonts w:hint="eastAsia" w:ascii="仿宋_GB2312" w:hAnsi="宋体" w:eastAsia="仿宋_GB2312"/>
          <w:color w:val="000000" w:themeColor="text1"/>
          <w:spacing w:val="0"/>
          <w:sz w:val="24"/>
          <w:highlight w:val="none"/>
          <w14:textFill>
            <w14:solidFill>
              <w14:schemeClr w14:val="tx1"/>
            </w14:solidFill>
          </w14:textFill>
        </w:rPr>
        <w:t>。</w:t>
      </w:r>
    </w:p>
    <w:p w14:paraId="28C57743">
      <w:pPr>
        <w:keepNext w:val="0"/>
        <w:keepLines w:val="0"/>
        <w:pageBreakBefore w:val="0"/>
        <w:widowControl w:val="0"/>
        <w:kinsoku/>
        <w:wordWrap/>
        <w:overflowPunct/>
        <w:topLinePunct w:val="0"/>
        <w:autoSpaceDE/>
        <w:autoSpaceDN/>
        <w:bidi w:val="0"/>
        <w:adjustRightInd/>
        <w:snapToGrid/>
        <w:spacing w:line="440" w:lineRule="exact"/>
        <w:ind w:right="-254" w:rightChars="-121"/>
        <w:textAlignment w:val="auto"/>
        <w:rPr>
          <w:rFonts w:hint="eastAsia" w:ascii="黑体" w:hAnsi="黑体" w:eastAsia="黑体"/>
          <w:color w:val="000000" w:themeColor="text1"/>
          <w:spacing w:val="0"/>
          <w:sz w:val="24"/>
          <w:highlight w:val="none"/>
          <w14:textFill>
            <w14:solidFill>
              <w14:schemeClr w14:val="tx1"/>
            </w14:solidFill>
          </w14:textFill>
        </w:rPr>
      </w:pPr>
    </w:p>
    <w:p w14:paraId="78C2793B">
      <w:pPr>
        <w:keepNext w:val="0"/>
        <w:keepLines w:val="0"/>
        <w:pageBreakBefore w:val="0"/>
        <w:widowControl w:val="0"/>
        <w:kinsoku/>
        <w:wordWrap/>
        <w:overflowPunct/>
        <w:topLinePunct w:val="0"/>
        <w:autoSpaceDE/>
        <w:autoSpaceDN/>
        <w:bidi w:val="0"/>
        <w:adjustRightInd/>
        <w:snapToGrid/>
        <w:spacing w:line="440" w:lineRule="exact"/>
        <w:ind w:right="-254" w:rightChars="-121"/>
        <w:textAlignment w:val="auto"/>
        <w:rPr>
          <w:rFonts w:hint="eastAsia" w:ascii="黑体" w:hAnsi="黑体" w:eastAsia="黑体"/>
          <w:color w:val="000000" w:themeColor="text1"/>
          <w:spacing w:val="0"/>
          <w:sz w:val="24"/>
          <w:highlight w:val="none"/>
          <w:lang w:val="en-US" w:eastAsia="zh-CN"/>
          <w14:textFill>
            <w14:solidFill>
              <w14:schemeClr w14:val="tx1"/>
            </w14:solidFill>
          </w14:textFill>
        </w:rPr>
      </w:pPr>
      <w:r>
        <w:rPr>
          <w:rFonts w:hint="eastAsia" w:ascii="黑体" w:hAnsi="黑体" w:eastAsia="黑体"/>
          <w:color w:val="000000" w:themeColor="text1"/>
          <w:spacing w:val="0"/>
          <w:sz w:val="24"/>
          <w:highlight w:val="none"/>
          <w:lang w:val="en-US" w:eastAsia="zh-CN"/>
          <w14:textFill>
            <w14:solidFill>
              <w14:schemeClr w14:val="tx1"/>
            </w14:solidFill>
          </w14:textFill>
        </w:rPr>
        <w:t>第十六条 合同的解除</w:t>
      </w:r>
    </w:p>
    <w:p w14:paraId="1E870DDB">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 乙方有下列情形之一的，甲方有权书面通知乙方解除本合同：</w:t>
      </w:r>
    </w:p>
    <w:p w14:paraId="17429627">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16.1.1. </w:t>
      </w:r>
      <w:r>
        <w:rPr>
          <w:rFonts w:hint="eastAsia" w:ascii="仿宋_GB2312" w:hAnsi="宋体" w:eastAsia="仿宋_GB2312"/>
          <w:color w:val="000000" w:themeColor="text1"/>
          <w:spacing w:val="0"/>
          <w:sz w:val="24"/>
          <w:highlight w:val="none"/>
          <w14:textFill>
            <w14:solidFill>
              <w14:schemeClr w14:val="tx1"/>
            </w14:solidFill>
          </w14:textFill>
        </w:rPr>
        <w:t>未按本合同</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及相关补充协议约定</w:t>
      </w:r>
      <w:r>
        <w:rPr>
          <w:rFonts w:hint="eastAsia" w:ascii="仿宋_GB2312" w:hAnsi="宋体" w:eastAsia="仿宋_GB2312"/>
          <w:color w:val="000000" w:themeColor="text1"/>
          <w:spacing w:val="0"/>
          <w:sz w:val="24"/>
          <w:highlight w:val="none"/>
          <w14:textFill>
            <w14:solidFill>
              <w14:schemeClr w14:val="tx1"/>
            </w14:solidFill>
          </w14:textFill>
        </w:rPr>
        <w:t>按时足额支付</w:t>
      </w:r>
      <w:r>
        <w:rPr>
          <w:rFonts w:hint="eastAsia" w:ascii="仿宋_GB2312" w:hAnsi="仿宋_GB2312" w:eastAsia="仿宋_GB2312" w:cs="仿宋_GB2312"/>
          <w:color w:val="000000" w:themeColor="text1"/>
          <w:spacing w:val="0"/>
          <w:sz w:val="24"/>
          <w:highlight w:val="none"/>
          <w14:textFill>
            <w14:solidFill>
              <w14:schemeClr w14:val="tx1"/>
            </w14:solidFill>
          </w14:textFill>
        </w:rPr>
        <w:t>租金、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综合管理费、物业服务费、履约保证金、水费、电费、气费、</w:t>
      </w:r>
      <w:r>
        <w:rPr>
          <w:rFonts w:hint="eastAsia" w:ascii="仿宋_GB2312" w:hAnsi="仿宋_GB2312" w:eastAsia="仿宋_GB2312" w:cs="仿宋_GB2312"/>
          <w:color w:val="000000" w:themeColor="text1"/>
          <w:spacing w:val="0"/>
          <w:sz w:val="24"/>
          <w:highlight w:val="none"/>
          <w14:textFill>
            <w14:solidFill>
              <w14:schemeClr w14:val="tx1"/>
            </w14:solidFill>
          </w14:textFill>
        </w:rPr>
        <w:t>违约金、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占用费、赔偿金、</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维修复原费</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以及其他</w:t>
      </w:r>
      <w:r>
        <w:rPr>
          <w:rFonts w:hint="eastAsia" w:ascii="仿宋_GB2312" w:hAnsi="仿宋_GB2312" w:eastAsia="仿宋_GB2312" w:cs="仿宋_GB2312"/>
          <w:color w:val="000000" w:themeColor="text1"/>
          <w:spacing w:val="0"/>
          <w:sz w:val="24"/>
          <w:highlight w:val="none"/>
          <w14:textFill>
            <w14:solidFill>
              <w14:schemeClr w14:val="tx1"/>
            </w14:solidFill>
          </w14:textFill>
        </w:rPr>
        <w:t>应由乙方承担的费用</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或经济责任</w:t>
      </w:r>
      <w:r>
        <w:rPr>
          <w:rFonts w:hint="eastAsia" w:ascii="仿宋_GB2312" w:hAnsi="宋体" w:eastAsia="仿宋_GB2312"/>
          <w:color w:val="000000" w:themeColor="text1"/>
          <w:spacing w:val="0"/>
          <w:sz w:val="24"/>
          <w:highlight w:val="none"/>
          <w14:textFill>
            <w14:solidFill>
              <w14:schemeClr w14:val="tx1"/>
            </w14:solidFill>
          </w14:textFill>
        </w:rPr>
        <w:t>达</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15个工作日</w:t>
      </w:r>
      <w:r>
        <w:rPr>
          <w:rFonts w:hint="eastAsia" w:ascii="仿宋_GB2312" w:hAnsi="宋体" w:eastAsia="仿宋_GB2312"/>
          <w:color w:val="000000" w:themeColor="text1"/>
          <w:spacing w:val="0"/>
          <w:sz w:val="24"/>
          <w:highlight w:val="none"/>
          <w14:textFill>
            <w14:solidFill>
              <w14:schemeClr w14:val="tx1"/>
            </w14:solidFill>
          </w14:textFill>
        </w:rPr>
        <w:t>，或拖欠</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上述</w:t>
      </w:r>
      <w:r>
        <w:rPr>
          <w:rFonts w:hint="eastAsia" w:ascii="仿宋_GB2312" w:hAnsi="宋体" w:eastAsia="仿宋_GB2312"/>
          <w:color w:val="000000" w:themeColor="text1"/>
          <w:spacing w:val="0"/>
          <w:sz w:val="24"/>
          <w:highlight w:val="none"/>
          <w14:textFill>
            <w14:solidFill>
              <w14:schemeClr w14:val="tx1"/>
            </w14:solidFill>
          </w14:textFill>
        </w:rPr>
        <w:t>费用累计金额达</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2</w:t>
      </w:r>
      <w:r>
        <w:rPr>
          <w:rFonts w:hint="eastAsia" w:ascii="仿宋_GB2312" w:hAnsi="宋体" w:eastAsia="仿宋_GB2312"/>
          <w:color w:val="000000" w:themeColor="text1"/>
          <w:spacing w:val="0"/>
          <w:sz w:val="24"/>
          <w:highlight w:val="none"/>
          <w14:textFill>
            <w14:solidFill>
              <w14:schemeClr w14:val="tx1"/>
            </w14:solidFill>
          </w14:textFill>
        </w:rPr>
        <w:t>万元的</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72887484">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16.1.2. 破坏或造成租赁资产及相关</w:t>
      </w:r>
      <w:r>
        <w:rPr>
          <w:rFonts w:hint="eastAsia" w:ascii="仿宋_GB2312" w:hAnsi="仿宋_GB2312" w:eastAsia="仿宋_GB2312" w:cs="仿宋_GB2312"/>
          <w:color w:val="000000" w:themeColor="text1"/>
          <w:spacing w:val="0"/>
          <w:sz w:val="24"/>
          <w:highlight w:val="none"/>
          <w14:textFill>
            <w14:solidFill>
              <w14:schemeClr w14:val="tx1"/>
            </w14:solidFill>
          </w14:textFill>
        </w:rPr>
        <w:t>设备设施</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损毁、灭失的。</w:t>
      </w:r>
    </w:p>
    <w:p w14:paraId="0B0D1336">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16.1.3. 在租赁区域外搭棚、外摆、占道、违建，或影响其他承租人及周边商家的正常经营或扰民，经甲方或甲方指定物业公司书面通知限期整改而未整改、拒不整改或整改不符合要求的。</w:t>
      </w:r>
    </w:p>
    <w:p w14:paraId="324A5A23">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16.1.4. 违反国家法律、法规、规章和规范性文件要求，从事违法活动或非法经营的。</w:t>
      </w:r>
    </w:p>
    <w:p w14:paraId="024D9065">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16.1.5. 违反本合同约定租赁资产用途和使用要求的。</w:t>
      </w:r>
    </w:p>
    <w:p w14:paraId="37F5AE6E">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16.1.6. 未经甲方书面同意或超出书面同意的范围和要求，擅自改动租赁资产的建筑主体、建筑外观、承重结构和拆改涉及消防、安全相关的设施设备的</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w:t>
      </w:r>
    </w:p>
    <w:p w14:paraId="5A373676">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16.1.7. 与相邻商户关于区域划分、设施的搭建、使用、拆除或使用租赁资产发生其他纠纷，无法自行、友好协商解决，造成重大影响的。</w:t>
      </w:r>
    </w:p>
    <w:p w14:paraId="31C4C43E">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default"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16.1.8. 经甲方或甲方指定物业公司书面通知限期整改而未整改、拒不整改或整改不符合要求的。</w:t>
      </w:r>
    </w:p>
    <w:p w14:paraId="409D57CB">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16.1.9. 违反本合同的其他情形或拒不履行本合同约定的相关义务，经甲方书面通知要求纠正或履行，乙方在规定限期内仍未纠正或履行的。</w:t>
      </w:r>
    </w:p>
    <w:p w14:paraId="0C869209">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16.1.10. 不履行、不完全履行或违反本</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合同及相关补充协议约定条款</w:t>
      </w:r>
      <w:r>
        <w:rPr>
          <w:rFonts w:hint="eastAsia" w:ascii="仿宋_GB2312" w:hAnsi="仿宋_GB2312" w:eastAsia="仿宋_GB2312" w:cs="仿宋_GB2312"/>
          <w:b w:val="0"/>
          <w:bCs w:val="0"/>
          <w:i w:val="0"/>
          <w:iCs w:val="0"/>
          <w:caps w:val="0"/>
          <w:color w:val="000000" w:themeColor="text1"/>
          <w:spacing w:val="-20"/>
          <w:sz w:val="24"/>
          <w:szCs w:val="24"/>
          <w:highlight w:val="none"/>
          <w:shd w:val="clear" w:fill="auto"/>
          <w:lang w:val="en-US" w:eastAsia="zh-CN"/>
          <w14:textFill>
            <w14:solidFill>
              <w14:schemeClr w14:val="tx1"/>
            </w14:solidFill>
          </w14:textFill>
        </w:rPr>
        <w:t>的。</w:t>
      </w:r>
    </w:p>
    <w:p w14:paraId="2D6F0AF9">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16.2. 合同解除权的行使方式：</w:t>
      </w:r>
    </w:p>
    <w:p w14:paraId="54C0EE5E">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方行使合同解除权，以向乙方发出《租赁合同解除通知书》（下称解除通知）的方式进行；甲方按本合同约定方式送达解除通知之日，或者将解除通知张贴于乙方租赁资产门上之日，视为本合同及相关补充协议已解除。</w:t>
      </w:r>
    </w:p>
    <w:p w14:paraId="29A167A1">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p>
    <w:p w14:paraId="189D469B">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pacing w:val="0"/>
          <w:sz w:val="24"/>
          <w:highlight w:val="none"/>
          <w:lang w:val="en-US" w:eastAsia="zh-CN"/>
          <w14:textFill>
            <w14:solidFill>
              <w14:schemeClr w14:val="tx1"/>
            </w14:solidFill>
          </w14:textFill>
        </w:rPr>
      </w:pPr>
      <w:r>
        <w:rPr>
          <w:rFonts w:hint="eastAsia" w:ascii="黑体" w:hAnsi="黑体" w:eastAsia="黑体" w:cs="黑体"/>
          <w:color w:val="000000" w:themeColor="text1"/>
          <w:spacing w:val="0"/>
          <w:sz w:val="24"/>
          <w:highlight w:val="none"/>
          <w:lang w:val="en-US" w:eastAsia="zh-CN"/>
          <w14:textFill>
            <w14:solidFill>
              <w14:schemeClr w14:val="tx1"/>
            </w14:solidFill>
          </w14:textFill>
        </w:rPr>
        <w:t>第十七条 合同解除或终止的处理</w:t>
      </w:r>
    </w:p>
    <w:p w14:paraId="7E803BED">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17.1. 乙方应当于本合同解除日或终止日后5个工作日内，向甲方及相关单位结清应支付的</w:t>
      </w:r>
      <w:r>
        <w:rPr>
          <w:rFonts w:hint="eastAsia" w:ascii="仿宋_GB2312" w:hAnsi="仿宋_GB2312" w:eastAsia="仿宋_GB2312" w:cs="仿宋_GB2312"/>
          <w:color w:val="000000" w:themeColor="text1"/>
          <w:spacing w:val="0"/>
          <w:sz w:val="24"/>
          <w:highlight w:val="none"/>
          <w14:textFill>
            <w14:solidFill>
              <w14:schemeClr w14:val="tx1"/>
            </w14:solidFill>
          </w14:textFill>
        </w:rPr>
        <w:t>租金、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综合管理费、物业服务费、履约保证金、水费、电费、气费、</w:t>
      </w:r>
      <w:r>
        <w:rPr>
          <w:rFonts w:hint="eastAsia" w:ascii="仿宋_GB2312" w:hAnsi="仿宋_GB2312" w:eastAsia="仿宋_GB2312" w:cs="仿宋_GB2312"/>
          <w:color w:val="000000" w:themeColor="text1"/>
          <w:spacing w:val="0"/>
          <w:sz w:val="24"/>
          <w:highlight w:val="none"/>
          <w14:textFill>
            <w14:solidFill>
              <w14:schemeClr w14:val="tx1"/>
            </w14:solidFill>
          </w14:textFill>
        </w:rPr>
        <w:t>违约金、</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占用费、赔偿金、</w:t>
      </w:r>
      <w:r>
        <w:rPr>
          <w:rFonts w:hint="eastAsia" w:ascii="仿宋_GB2312" w:hAnsi="仿宋_GB2312" w:eastAsia="仿宋_GB2312" w:cs="仿宋_GB2312"/>
          <w:color w:val="000000" w:themeColor="text1"/>
          <w:spacing w:val="0"/>
          <w:sz w:val="24"/>
          <w:highlight w:val="none"/>
          <w:lang w:eastAsia="zh-CN"/>
          <w14:textFill>
            <w14:solidFill>
              <w14:schemeClr w14:val="tx1"/>
            </w14:solidFill>
          </w14:textFill>
        </w:rPr>
        <w:t>维修复原费</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以及其他</w:t>
      </w:r>
      <w:r>
        <w:rPr>
          <w:rFonts w:hint="eastAsia" w:ascii="仿宋_GB2312" w:hAnsi="仿宋_GB2312" w:eastAsia="仿宋_GB2312" w:cs="仿宋_GB2312"/>
          <w:color w:val="000000" w:themeColor="text1"/>
          <w:spacing w:val="0"/>
          <w:sz w:val="24"/>
          <w:highlight w:val="none"/>
          <w14:textFill>
            <w14:solidFill>
              <w14:schemeClr w14:val="tx1"/>
            </w14:solidFill>
          </w14:textFill>
        </w:rPr>
        <w:t>应由乙方承担的费用</w:t>
      </w:r>
      <w:r>
        <w:rPr>
          <w:rFonts w:hint="eastAsia" w:ascii="仿宋_GB2312" w:hAnsi="仿宋_GB2312" w:eastAsia="仿宋_GB2312" w:cs="仿宋_GB2312"/>
          <w:color w:val="000000" w:themeColor="text1"/>
          <w:spacing w:val="0"/>
          <w:sz w:val="24"/>
          <w:highlight w:val="none"/>
          <w:lang w:val="en-US" w:eastAsia="zh-CN"/>
          <w14:textFill>
            <w14:solidFill>
              <w14:schemeClr w14:val="tx1"/>
            </w14:solidFill>
          </w14:textFill>
        </w:rPr>
        <w:t>或经济责任</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（下称欠缴款项）。</w:t>
      </w:r>
    </w:p>
    <w:p w14:paraId="3FC03F9B">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若乙方存在上述欠缴款项未予结清的，甲方及甲方指定物业公司有权留置乙方在租赁资产内的物品及设施设备且有权阻止乙方搬离；本合同解除日或终止日的5个工作日后，乙方仍未向甲方及相关单位付清欠缴款项的，甲方有权依法处置留置的乙方物品及设施设备，处置所得扣除处置费用后优先清偿乙方所欠甲方及相关单位的欠缴款项，不足清偿的甲方有权继续向乙方追偿。</w:t>
      </w:r>
    </w:p>
    <w:p w14:paraId="6A6205B4">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17.2. </w:t>
      </w:r>
      <w:r>
        <w:rPr>
          <w:rFonts w:hint="eastAsia" w:ascii="仿宋_GB2312" w:hAnsi="宋体" w:eastAsia="仿宋_GB2312"/>
          <w:color w:val="000000" w:themeColor="text1"/>
          <w:spacing w:val="0"/>
          <w:sz w:val="24"/>
          <w:highlight w:val="none"/>
          <w14:textFill>
            <w14:solidFill>
              <w14:schemeClr w14:val="tx1"/>
            </w14:solidFill>
          </w14:textFill>
        </w:rPr>
        <w:t>乙方应</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当</w:t>
      </w:r>
      <w:r>
        <w:rPr>
          <w:rFonts w:hint="eastAsia" w:ascii="仿宋_GB2312" w:hAnsi="宋体" w:eastAsia="仿宋_GB2312"/>
          <w:color w:val="000000" w:themeColor="text1"/>
          <w:spacing w:val="0"/>
          <w:sz w:val="24"/>
          <w:highlight w:val="none"/>
          <w14:textFill>
            <w14:solidFill>
              <w14:schemeClr w14:val="tx1"/>
            </w14:solidFill>
          </w14:textFill>
        </w:rPr>
        <w:t>于</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本合同解除日或终止日后5个工作日内，搬离完毕</w:t>
      </w:r>
      <w:r>
        <w:rPr>
          <w:rFonts w:hint="eastAsia" w:ascii="仿宋_GB2312" w:hAnsi="宋体" w:eastAsia="仿宋_GB2312"/>
          <w:color w:val="000000" w:themeColor="text1"/>
          <w:spacing w:val="0"/>
          <w:sz w:val="24"/>
          <w:highlight w:val="none"/>
          <w14:textFill>
            <w14:solidFill>
              <w14:schemeClr w14:val="tx1"/>
            </w14:solidFill>
          </w14:textFill>
        </w:rPr>
        <w:t>乙方自有物品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及设施设备</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并清除干净租赁资产内的垃圾，且在</w:t>
      </w:r>
      <w:r>
        <w:rPr>
          <w:rFonts w:hint="eastAsia" w:ascii="仿宋_GB2312" w:hAnsi="宋体" w:eastAsia="仿宋_GB2312"/>
          <w:color w:val="000000" w:themeColor="text1"/>
          <w:spacing w:val="0"/>
          <w:sz w:val="24"/>
          <w:highlight w:val="none"/>
          <w14:textFill>
            <w14:solidFill>
              <w14:schemeClr w14:val="tx1"/>
            </w14:solidFill>
          </w14:textFill>
        </w:rPr>
        <w:t>保证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租赁资产</w:t>
      </w:r>
      <w:r>
        <w:rPr>
          <w:rFonts w:hint="eastAsia" w:ascii="仿宋_GB2312" w:hAnsi="宋体" w:eastAsia="仿宋_GB2312"/>
          <w:color w:val="000000" w:themeColor="text1"/>
          <w:spacing w:val="0"/>
          <w:sz w:val="24"/>
          <w:highlight w:val="none"/>
          <w14:textFill>
            <w14:solidFill>
              <w14:schemeClr w14:val="tx1"/>
            </w14:solidFill>
          </w14:textFill>
        </w:rPr>
        <w:t>及</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相关设施设备</w:t>
      </w:r>
      <w:r>
        <w:rPr>
          <w:rFonts w:hint="eastAsia" w:ascii="仿宋_GB2312" w:hAnsi="宋体" w:eastAsia="仿宋_GB2312"/>
          <w:color w:val="000000" w:themeColor="text1"/>
          <w:spacing w:val="0"/>
          <w:sz w:val="24"/>
          <w:highlight w:val="none"/>
          <w14:textFill>
            <w14:solidFill>
              <w14:schemeClr w14:val="tx1"/>
            </w14:solidFill>
          </w14:textFill>
        </w:rPr>
        <w:t>完好无损</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的情况下，将全部租赁资产及相关设施设备交还甲方</w:t>
      </w:r>
      <w:r>
        <w:rPr>
          <w:rFonts w:hint="eastAsia" w:ascii="仿宋_GB2312" w:hAnsi="宋体" w:eastAsia="仿宋_GB2312"/>
          <w:color w:val="000000" w:themeColor="text1"/>
          <w:spacing w:val="0"/>
          <w:sz w:val="24"/>
          <w:highlight w:val="none"/>
          <w14:textFill>
            <w14:solidFill>
              <w14:schemeClr w14:val="tx1"/>
            </w14:solidFill>
          </w14:textFill>
        </w:rPr>
        <w:t>。</w:t>
      </w:r>
    </w:p>
    <w:p w14:paraId="1AD815BB">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若乙方未按上述约定搬离、清除、交还租赁资产及相关设施设备，</w:t>
      </w:r>
      <w:r>
        <w:rPr>
          <w:rFonts w:hint="eastAsia" w:ascii="仿宋_GB2312" w:hAnsi="宋体" w:eastAsia="仿宋_GB2312"/>
          <w:color w:val="000000" w:themeColor="text1"/>
          <w:spacing w:val="0"/>
          <w:sz w:val="24"/>
          <w:highlight w:val="none"/>
          <w14:textFill>
            <w14:solidFill>
              <w14:schemeClr w14:val="tx1"/>
            </w14:solidFill>
          </w14:textFill>
        </w:rPr>
        <w:t>则</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自</w:t>
      </w:r>
      <w:r>
        <w:rPr>
          <w:rFonts w:hint="eastAsia" w:ascii="仿宋_GB2312" w:hAnsi="宋体" w:eastAsia="仿宋_GB2312"/>
          <w:color w:val="000000" w:themeColor="text1"/>
          <w:spacing w:val="0"/>
          <w:sz w:val="24"/>
          <w:highlight w:val="none"/>
          <w14:textFill>
            <w14:solidFill>
              <w14:schemeClr w14:val="tx1"/>
            </w14:solidFill>
          </w14:textFill>
        </w:rPr>
        <w:t>本</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合同解除日或终止日的次日起，甲方有权按本合同租金约定</w:t>
      </w:r>
      <w:r>
        <w:rPr>
          <w:rFonts w:hint="eastAsia" w:ascii="仿宋_GB2312" w:hAnsi="宋体" w:eastAsia="仿宋_GB2312"/>
          <w:color w:val="000000" w:themeColor="text1"/>
          <w:spacing w:val="0"/>
          <w:sz w:val="24"/>
          <w:highlight w:val="none"/>
          <w14:textFill>
            <w14:solidFill>
              <w14:schemeClr w14:val="tx1"/>
            </w14:solidFill>
          </w14:textFill>
        </w:rPr>
        <w:t>向</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乙方收取租赁资产占用费</w:t>
      </w:r>
      <w:r>
        <w:rPr>
          <w:rFonts w:hint="eastAsia" w:ascii="仿宋_GB2312" w:hAnsi="宋体" w:eastAsia="仿宋_GB2312"/>
          <w:color w:val="000000" w:themeColor="text1"/>
          <w:spacing w:val="0"/>
          <w:sz w:val="24"/>
          <w:highlight w:val="none"/>
          <w14:textFill>
            <w14:solidFill>
              <w14:schemeClr w14:val="tx1"/>
            </w14:solidFill>
          </w14:textFill>
        </w:rPr>
        <w:t>。本</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合同解除日或终止日的</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5个工作日</w:t>
      </w:r>
      <w:r>
        <w:rPr>
          <w:rFonts w:hint="eastAsia" w:ascii="仿宋_GB2312" w:hAnsi="宋体" w:eastAsia="仿宋_GB2312"/>
          <w:color w:val="000000" w:themeColor="text1"/>
          <w:spacing w:val="0"/>
          <w:sz w:val="24"/>
          <w:highlight w:val="none"/>
          <w14:textFill>
            <w14:solidFill>
              <w14:schemeClr w14:val="tx1"/>
            </w14:solidFill>
          </w14:textFill>
        </w:rPr>
        <w:t>后，如租赁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内仍遗留有乙方物品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或设施设备</w:t>
      </w:r>
      <w:r>
        <w:rPr>
          <w:rFonts w:hint="eastAsia" w:ascii="仿宋_GB2312" w:hAnsi="宋体" w:eastAsia="仿宋_GB2312"/>
          <w:color w:val="000000" w:themeColor="text1"/>
          <w:spacing w:val="0"/>
          <w:sz w:val="24"/>
          <w:highlight w:val="none"/>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乙方同意自即日起，视为乙方放弃了其租赁资产内所有物品、设施设备的所有权</w:t>
      </w:r>
      <w:r>
        <w:rPr>
          <w:rFonts w:hint="eastAsia" w:ascii="仿宋_GB2312" w:hAnsi="宋体" w:eastAsia="仿宋_GB2312"/>
          <w:color w:val="000000" w:themeColor="text1"/>
          <w:spacing w:val="0"/>
          <w:sz w:val="24"/>
          <w:highlight w:val="none"/>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乙方同意由甲方任意处置</w:t>
      </w:r>
      <w:r>
        <w:rPr>
          <w:rFonts w:hint="eastAsia" w:ascii="仿宋_GB2312" w:hAnsi="宋体" w:eastAsia="仿宋_GB2312"/>
          <w:color w:val="000000" w:themeColor="text1"/>
          <w:spacing w:val="0"/>
          <w:sz w:val="24"/>
          <w:highlight w:val="none"/>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并愿意承担甲方因清除、搬离及保管、处置上述物品、设施设备而产生的全部费用；乙方不得向甲方主张租赁资产内物品、设施设备的任何权利；且</w:t>
      </w:r>
      <w:r>
        <w:rPr>
          <w:rFonts w:hint="eastAsia" w:ascii="仿宋_GB2312" w:hAnsi="宋体" w:eastAsia="仿宋_GB2312"/>
          <w:color w:val="000000" w:themeColor="text1"/>
          <w:spacing w:val="0"/>
          <w:sz w:val="24"/>
          <w:highlight w:val="none"/>
          <w14:textFill>
            <w14:solidFill>
              <w14:schemeClr w14:val="tx1"/>
            </w14:solidFill>
          </w14:textFill>
        </w:rPr>
        <w:t>甲方</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有权</w:t>
      </w:r>
      <w:r>
        <w:rPr>
          <w:rFonts w:hint="eastAsia" w:ascii="仿宋_GB2312" w:hAnsi="宋体" w:eastAsia="仿宋_GB2312"/>
          <w:color w:val="000000" w:themeColor="text1"/>
          <w:spacing w:val="0"/>
          <w:sz w:val="24"/>
          <w:highlight w:val="none"/>
          <w14:textFill>
            <w14:solidFill>
              <w14:schemeClr w14:val="tx1"/>
            </w14:solidFill>
          </w14:textFill>
        </w:rPr>
        <w:t>强制收回租赁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资产的经营管理权</w:t>
      </w:r>
      <w:r>
        <w:rPr>
          <w:rFonts w:hint="eastAsia" w:ascii="仿宋_GB2312" w:hAnsi="宋体" w:eastAsia="仿宋_GB2312"/>
          <w:color w:val="000000" w:themeColor="text1"/>
          <w:spacing w:val="0"/>
          <w:sz w:val="24"/>
          <w:highlight w:val="none"/>
          <w14:textFill>
            <w14:solidFill>
              <w14:schemeClr w14:val="tx1"/>
            </w14:solidFill>
          </w14:textFill>
        </w:rPr>
        <w:t>，造成的</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一切</w:t>
      </w:r>
      <w:r>
        <w:rPr>
          <w:rFonts w:hint="eastAsia" w:ascii="仿宋_GB2312" w:hAnsi="宋体" w:eastAsia="仿宋_GB2312"/>
          <w:color w:val="000000" w:themeColor="text1"/>
          <w:spacing w:val="0"/>
          <w:sz w:val="24"/>
          <w:highlight w:val="none"/>
          <w14:textFill>
            <w14:solidFill>
              <w14:schemeClr w14:val="tx1"/>
            </w14:solidFill>
          </w14:textFill>
        </w:rPr>
        <w:t>损失由乙方承担。</w:t>
      </w:r>
    </w:p>
    <w:p w14:paraId="4FB201C6">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17.3. 本</w:t>
      </w:r>
      <w:r>
        <w:rPr>
          <w:rFonts w:hint="eastAsia" w:ascii="仿宋_GB2312" w:hAnsi="宋体" w:eastAsia="仿宋_GB2312"/>
          <w:color w:val="000000" w:themeColor="text1"/>
          <w:spacing w:val="0"/>
          <w:sz w:val="24"/>
          <w:highlight w:val="none"/>
          <w14:textFill>
            <w14:solidFill>
              <w14:schemeClr w14:val="tx1"/>
            </w14:solidFill>
          </w14:textFill>
        </w:rPr>
        <w:t>合同</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解除</w:t>
      </w:r>
      <w:r>
        <w:rPr>
          <w:rFonts w:hint="eastAsia" w:ascii="仿宋_GB2312" w:hAnsi="宋体" w:eastAsia="仿宋_GB2312"/>
          <w:color w:val="000000" w:themeColor="text1"/>
          <w:spacing w:val="0"/>
          <w:sz w:val="24"/>
          <w:highlight w:val="none"/>
          <w14:textFill>
            <w14:solidFill>
              <w14:schemeClr w14:val="tx1"/>
            </w14:solidFill>
          </w14:textFill>
        </w:rPr>
        <w:t>或终止</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时，乙方需按照本合同及相关补充协议约定或甲方要求，于5个工作日内拆除在租赁资产上的任何附加物或改造物（包括但不限于乙方的结构性装修、装饰性装潢及固定设备装置等），并恢复租赁资产原状。</w:t>
      </w:r>
      <w:r>
        <w:rPr>
          <w:rFonts w:hint="eastAsia" w:ascii="仿宋_GB2312" w:hAnsi="宋体" w:eastAsia="仿宋_GB2312"/>
          <w:color w:val="000000" w:themeColor="text1"/>
          <w:spacing w:val="0"/>
          <w:sz w:val="24"/>
          <w:highlight w:val="none"/>
          <w14:textFill>
            <w14:solidFill>
              <w14:schemeClr w14:val="tx1"/>
            </w14:solidFill>
          </w14:textFill>
        </w:rPr>
        <w:t>本</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合同解除日或终止日的</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5个工作日</w:t>
      </w:r>
      <w:r>
        <w:rPr>
          <w:rFonts w:hint="eastAsia" w:ascii="仿宋_GB2312" w:hAnsi="宋体" w:eastAsia="仿宋_GB2312"/>
          <w:color w:val="000000" w:themeColor="text1"/>
          <w:spacing w:val="0"/>
          <w:sz w:val="24"/>
          <w:highlight w:val="none"/>
          <w14:textFill>
            <w14:solidFill>
              <w14:schemeClr w14:val="tx1"/>
            </w14:solidFill>
          </w14:textFill>
        </w:rPr>
        <w:t>后，如租赁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内</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仍留有乙方任何附加物或改造物，将视为乙方遗弃物，甲方无需向乙方支付任何对价，而将这些附加物或改造物全部或部分保留，且有权要求乙方支付修复、移走或拆除这些附加物或改造物的费用，若因此导致甲方遭受任何损害的，由乙方承担赔偿责任。</w:t>
      </w:r>
    </w:p>
    <w:p w14:paraId="048A99C9">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17.4. 如乙方对租赁资产或相关设施造成损坏，乙方应当在交还租赁资产前予以修复或者照价赔偿。</w:t>
      </w:r>
    </w:p>
    <w:p w14:paraId="11D20AFF">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17.5. 若乙方或乙方转租客户的公司住所为本租赁资产或本项目地址的，乙方应当于本合同解除日或终止日后3个工作日内办理或敦促其转租客户办理注册地址迁出的工商变更或注销手续，并向甲方提供工商变更或注销登记回执证明。</w:t>
      </w:r>
    </w:p>
    <w:p w14:paraId="2DBE3D10">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17.6. 乙方完成上述事项后，方可与甲方办理租赁资产交接手续，并签署《租赁资产现场交接确认书（交还）》将租赁资产及相关设施设备交还甲方。</w:t>
      </w:r>
    </w:p>
    <w:p w14:paraId="143BBDDC">
      <w:pPr>
        <w:keepNext w:val="0"/>
        <w:keepLines w:val="0"/>
        <w:pageBreakBefore w:val="0"/>
        <w:widowControl w:val="0"/>
        <w:tabs>
          <w:tab w:val="left" w:pos="812"/>
          <w:tab w:val="left" w:pos="8820"/>
        </w:tabs>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17.7. 上述事项处理完毕后，甲方凭乙方交还的履约保证金收据，无息退还乙方的履约保证金；但是按本合同约定甲方不予退还履约保证金或扣除履约保证金的除外。</w:t>
      </w:r>
    </w:p>
    <w:p w14:paraId="01E09B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5D3F1DEE">
      <w:pPr>
        <w:keepNext w:val="0"/>
        <w:keepLines w:val="0"/>
        <w:pageBreakBefore w:val="0"/>
        <w:widowControl w:val="0"/>
        <w:kinsoku/>
        <w:wordWrap/>
        <w:overflowPunct/>
        <w:topLinePunct w:val="0"/>
        <w:autoSpaceDE/>
        <w:autoSpaceDN/>
        <w:bidi w:val="0"/>
        <w:adjustRightInd/>
        <w:snapToGrid/>
        <w:spacing w:line="440" w:lineRule="exact"/>
        <w:ind w:right="-254" w:rightChars="-121"/>
        <w:textAlignment w:val="auto"/>
        <w:rPr>
          <w:rFonts w:hint="eastAsia" w:ascii="微软雅黑" w:hAnsi="微软雅黑" w:eastAsia="微软雅黑"/>
          <w:b/>
          <w:bCs/>
          <w:color w:val="000000" w:themeColor="text1"/>
          <w:spacing w:val="0"/>
          <w:szCs w:val="21"/>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十八</w:t>
      </w:r>
      <w:r>
        <w:rPr>
          <w:rFonts w:hint="eastAsia" w:ascii="黑体" w:hAnsi="黑体" w:eastAsia="黑体"/>
          <w:color w:val="000000" w:themeColor="text1"/>
          <w:spacing w:val="0"/>
          <w:sz w:val="24"/>
          <w:highlight w:val="none"/>
          <w14:textFill>
            <w14:solidFill>
              <w14:schemeClr w14:val="tx1"/>
            </w14:solidFill>
          </w14:textFill>
        </w:rPr>
        <w:t>条 违约责任</w:t>
      </w:r>
    </w:p>
    <w:p w14:paraId="5F77FF27">
      <w:pPr>
        <w:keepNext w:val="0"/>
        <w:keepLines w:val="0"/>
        <w:pageBreakBefore w:val="0"/>
        <w:widowControl w:val="0"/>
        <w:tabs>
          <w:tab w:val="left" w:pos="8820"/>
        </w:tabs>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_GB2312" w:hAnsi="宋体" w:eastAsia="仿宋_GB2312"/>
          <w:color w:val="000000" w:themeColor="text1"/>
          <w:spacing w:val="0"/>
          <w:sz w:val="24"/>
          <w:highlight w:val="none"/>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18.1. 甲、乙双方任一方不履行或不完全履行本合同及相关补充协议所约定的条款，视为该方违约。发生违约行为的，违约方按本合同约定承担违约责任；合同约定的违约金不足以弥补守约方损失的，违约方还应赔偿超过损失部分。</w:t>
      </w:r>
    </w:p>
    <w:p w14:paraId="3A32AB56">
      <w:pPr>
        <w:keepNext w:val="0"/>
        <w:keepLines w:val="0"/>
        <w:pageBreakBefore w:val="0"/>
        <w:widowControl w:val="0"/>
        <w:tabs>
          <w:tab w:val="left" w:pos="8820"/>
        </w:tabs>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18.2. </w:t>
      </w:r>
      <w:r>
        <w:rPr>
          <w:rFonts w:hint="eastAsia" w:ascii="仿宋_GB2312" w:hAnsi="宋体" w:eastAsia="仿宋_GB2312"/>
          <w:color w:val="000000" w:themeColor="text1"/>
          <w:spacing w:val="0"/>
          <w:sz w:val="24"/>
          <w:highlight w:val="none"/>
          <w14:textFill>
            <w14:solidFill>
              <w14:schemeClr w14:val="tx1"/>
            </w14:solidFill>
          </w14:textFill>
        </w:rPr>
        <w:t>若因甲方</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违约</w:t>
      </w:r>
      <w:r>
        <w:rPr>
          <w:rFonts w:hint="eastAsia" w:ascii="仿宋_GB2312" w:hAnsi="宋体" w:eastAsia="仿宋_GB2312"/>
          <w:color w:val="000000" w:themeColor="text1"/>
          <w:spacing w:val="0"/>
          <w:sz w:val="24"/>
          <w:highlight w:val="none"/>
          <w14:textFill>
            <w14:solidFill>
              <w14:schemeClr w14:val="tx1"/>
            </w14:solidFill>
          </w14:textFill>
        </w:rPr>
        <w:t>致乙方不能持续、稳定使用租赁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导致合同被迫终止的，甲方退还乙方预付租金的剩余部分。</w:t>
      </w:r>
    </w:p>
    <w:p w14:paraId="720BE37F">
      <w:pPr>
        <w:keepNext w:val="0"/>
        <w:keepLines w:val="0"/>
        <w:pageBreakBefore w:val="0"/>
        <w:widowControl w:val="0"/>
        <w:tabs>
          <w:tab w:val="left" w:pos="8820"/>
        </w:tabs>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18.3. 若乙方有本合同第十六条所列明情形之一，或相关补充协议约定有关情形的，乙方违约，甲方有权单方面解除或终止本合同，</w:t>
      </w:r>
      <w:r>
        <w:rPr>
          <w:rFonts w:hint="eastAsia" w:ascii="仿宋_GB2312" w:hAnsi="宋体" w:eastAsia="仿宋_GB2312"/>
          <w:color w:val="000000" w:themeColor="text1"/>
          <w:spacing w:val="0"/>
          <w:sz w:val="24"/>
          <w:highlight w:val="none"/>
          <w14:textFill>
            <w14:solidFill>
              <w14:schemeClr w14:val="tx1"/>
            </w14:solidFill>
          </w14:textFill>
        </w:rPr>
        <w:t>届时乙方预付租金的剩余部分甲方不予退还，且甲方有权按本合同</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总金额的10%及相关补充协议</w:t>
      </w:r>
      <w:r>
        <w:rPr>
          <w:rFonts w:hint="eastAsia" w:ascii="仿宋_GB2312" w:hAnsi="宋体" w:eastAsia="仿宋_GB2312"/>
          <w:color w:val="000000" w:themeColor="text1"/>
          <w:spacing w:val="0"/>
          <w:sz w:val="24"/>
          <w:highlight w:val="none"/>
          <w14:textFill>
            <w14:solidFill>
              <w14:schemeClr w14:val="tx1"/>
            </w14:solidFill>
          </w14:textFill>
        </w:rPr>
        <w:t>约定</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向乙方</w:t>
      </w:r>
      <w:r>
        <w:rPr>
          <w:rFonts w:hint="eastAsia" w:ascii="仿宋_GB2312" w:hAnsi="宋体" w:eastAsia="仿宋_GB2312"/>
          <w:color w:val="000000" w:themeColor="text1"/>
          <w:spacing w:val="0"/>
          <w:sz w:val="24"/>
          <w:highlight w:val="none"/>
          <w14:textFill>
            <w14:solidFill>
              <w14:schemeClr w14:val="tx1"/>
            </w14:solidFill>
          </w14:textFill>
        </w:rPr>
        <w:t>收取违约金</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违约金不足以弥补</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甲方</w:t>
      </w:r>
      <w:r>
        <w:rPr>
          <w:rFonts w:hint="eastAsia" w:ascii="仿宋_GB2312" w:hAnsi="宋体" w:eastAsia="仿宋_GB2312"/>
          <w:color w:val="000000" w:themeColor="text1"/>
          <w:spacing w:val="0"/>
          <w:sz w:val="24"/>
          <w:highlight w:val="none"/>
          <w14:textFill>
            <w14:solidFill>
              <w14:schemeClr w14:val="tx1"/>
            </w14:solidFill>
          </w14:textFill>
        </w:rPr>
        <w:t>损失的，</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甲方</w:t>
      </w:r>
      <w:r>
        <w:rPr>
          <w:rFonts w:hint="eastAsia" w:ascii="仿宋_GB2312" w:hAnsi="宋体" w:eastAsia="仿宋_GB2312"/>
          <w:color w:val="000000" w:themeColor="text1"/>
          <w:spacing w:val="0"/>
          <w:sz w:val="24"/>
          <w:highlight w:val="none"/>
          <w14:textFill>
            <w14:solidFill>
              <w14:schemeClr w14:val="tx1"/>
            </w14:solidFill>
          </w14:textFill>
        </w:rPr>
        <w:t>有权要求</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乙方</w:t>
      </w:r>
      <w:r>
        <w:rPr>
          <w:rFonts w:hint="eastAsia" w:ascii="仿宋_GB2312" w:hAnsi="宋体" w:eastAsia="仿宋_GB2312"/>
          <w:color w:val="000000" w:themeColor="text1"/>
          <w:spacing w:val="0"/>
          <w:sz w:val="24"/>
          <w:highlight w:val="none"/>
          <w14:textFill>
            <w14:solidFill>
              <w14:schemeClr w14:val="tx1"/>
            </w14:solidFill>
          </w14:textFill>
        </w:rPr>
        <w:t>按实际损失赔偿</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57E364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18.4. </w:t>
      </w:r>
      <w:r>
        <w:rPr>
          <w:rFonts w:hint="eastAsia" w:ascii="仿宋_GB2312" w:hAnsi="宋体" w:eastAsia="仿宋_GB2312"/>
          <w:color w:val="000000" w:themeColor="text1"/>
          <w:spacing w:val="0"/>
          <w:sz w:val="24"/>
          <w:highlight w:val="none"/>
          <w14:textFill>
            <w14:solidFill>
              <w14:schemeClr w14:val="tx1"/>
            </w14:solidFill>
          </w14:textFill>
        </w:rPr>
        <w:t>除</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甲、乙双方协商一致外</w:t>
      </w:r>
      <w:r>
        <w:rPr>
          <w:rFonts w:hint="eastAsia" w:ascii="仿宋_GB2312" w:hAnsi="宋体" w:eastAsia="仿宋_GB2312"/>
          <w:color w:val="000000" w:themeColor="text1"/>
          <w:spacing w:val="0"/>
          <w:sz w:val="24"/>
          <w:highlight w:val="none"/>
          <w14:textFill>
            <w14:solidFill>
              <w14:schemeClr w14:val="tx1"/>
            </w14:solidFill>
          </w14:textFill>
        </w:rPr>
        <w:t>，乙方不得解除或终止本合同</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否则甲方有权按本合同总金额的10%向乙方</w:t>
      </w:r>
      <w:r>
        <w:rPr>
          <w:rFonts w:hint="eastAsia" w:ascii="仿宋_GB2312" w:hAnsi="宋体" w:eastAsia="仿宋_GB2312"/>
          <w:color w:val="000000" w:themeColor="text1"/>
          <w:spacing w:val="0"/>
          <w:sz w:val="24"/>
          <w:highlight w:val="none"/>
          <w14:textFill>
            <w14:solidFill>
              <w14:schemeClr w14:val="tx1"/>
            </w14:solidFill>
          </w14:textFill>
        </w:rPr>
        <w:t>收取违约金</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0FAB37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18.5. </w:t>
      </w:r>
      <w:r>
        <w:rPr>
          <w:rFonts w:hint="eastAsia" w:ascii="仿宋_GB2312" w:hAnsi="宋体" w:eastAsia="仿宋_GB2312"/>
          <w:color w:val="000000" w:themeColor="text1"/>
          <w:spacing w:val="0"/>
          <w:sz w:val="24"/>
          <w:highlight w:val="none"/>
          <w14:textFill>
            <w14:solidFill>
              <w14:schemeClr w14:val="tx1"/>
            </w14:solidFill>
          </w14:textFill>
        </w:rPr>
        <w:t>租赁期间，受到政府政策规定</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要求或其他不可抗力因素（其含义以国家相关法律法规所解释的不可抗力含义为准）导致租赁合同无法继续履行时，租赁合同即告终止，租金及其他</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相关</w:t>
      </w:r>
      <w:r>
        <w:rPr>
          <w:rFonts w:hint="eastAsia" w:ascii="仿宋_GB2312" w:hAnsi="宋体" w:eastAsia="仿宋_GB2312"/>
          <w:color w:val="000000" w:themeColor="text1"/>
          <w:spacing w:val="0"/>
          <w:sz w:val="24"/>
          <w:highlight w:val="none"/>
          <w14:textFill>
            <w14:solidFill>
              <w14:schemeClr w14:val="tx1"/>
            </w14:solidFill>
          </w14:textFill>
        </w:rPr>
        <w:t>费用据实结算，甲</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乙双方均互不承担违约责任，互不赔偿对方因此造成的任何损失。</w:t>
      </w:r>
    </w:p>
    <w:p w14:paraId="24C02F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18.6. </w:t>
      </w:r>
      <w:r>
        <w:rPr>
          <w:rFonts w:hint="eastAsia" w:ascii="仿宋_GB2312" w:hAnsi="宋体" w:eastAsia="仿宋_GB2312"/>
          <w:color w:val="000000" w:themeColor="text1"/>
          <w:spacing w:val="0"/>
          <w:sz w:val="24"/>
          <w:highlight w:val="none"/>
          <w14:textFill>
            <w14:solidFill>
              <w14:schemeClr w14:val="tx1"/>
            </w14:solidFill>
          </w14:textFill>
        </w:rPr>
        <w:t>若任何一方致使本合同</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及相关补充协议的</w:t>
      </w:r>
      <w:r>
        <w:rPr>
          <w:rFonts w:hint="eastAsia" w:ascii="仿宋_GB2312" w:hAnsi="宋体" w:eastAsia="仿宋_GB2312"/>
          <w:color w:val="000000" w:themeColor="text1"/>
          <w:spacing w:val="0"/>
          <w:sz w:val="24"/>
          <w:highlight w:val="none"/>
          <w14:textFill>
            <w14:solidFill>
              <w14:schemeClr w14:val="tx1"/>
            </w14:solidFill>
          </w14:textFill>
        </w:rPr>
        <w:t>内容泄密，由违约方按</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本</w:t>
      </w:r>
      <w:r>
        <w:rPr>
          <w:rFonts w:hint="eastAsia" w:ascii="仿宋_GB2312" w:hAnsi="宋体" w:eastAsia="仿宋_GB2312"/>
          <w:color w:val="000000" w:themeColor="text1"/>
          <w:spacing w:val="0"/>
          <w:sz w:val="24"/>
          <w:highlight w:val="none"/>
          <w14:textFill>
            <w14:solidFill>
              <w14:schemeClr w14:val="tx1"/>
            </w14:solidFill>
          </w14:textFill>
        </w:rPr>
        <w:t>合同总额的5%向守约方支付违约金。</w:t>
      </w:r>
    </w:p>
    <w:p w14:paraId="0A04B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419678E8">
      <w:pPr>
        <w:keepNext w:val="0"/>
        <w:keepLines w:val="0"/>
        <w:pageBreakBefore w:val="0"/>
        <w:widowControl w:val="0"/>
        <w:kinsoku/>
        <w:wordWrap/>
        <w:overflowPunct/>
        <w:topLinePunct w:val="0"/>
        <w:autoSpaceDE/>
        <w:autoSpaceDN/>
        <w:bidi w:val="0"/>
        <w:adjustRightInd/>
        <w:snapToGrid/>
        <w:spacing w:line="440" w:lineRule="exact"/>
        <w:ind w:right="-254" w:rightChars="-121"/>
        <w:textAlignment w:val="auto"/>
        <w:rPr>
          <w:rFonts w:hint="eastAsia" w:ascii="黑体" w:hAnsi="黑体" w:eastAsia="黑体"/>
          <w:color w:val="000000" w:themeColor="text1"/>
          <w:spacing w:val="0"/>
          <w:sz w:val="24"/>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十九</w:t>
      </w:r>
      <w:r>
        <w:rPr>
          <w:rFonts w:hint="eastAsia" w:ascii="黑体" w:hAnsi="黑体" w:eastAsia="黑体"/>
          <w:color w:val="000000" w:themeColor="text1"/>
          <w:spacing w:val="0"/>
          <w:sz w:val="24"/>
          <w:highlight w:val="none"/>
          <w14:textFill>
            <w14:solidFill>
              <w14:schemeClr w14:val="tx1"/>
            </w14:solidFill>
          </w14:textFill>
        </w:rPr>
        <w:t>条　通知的送达</w:t>
      </w:r>
    </w:p>
    <w:p w14:paraId="26536B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19.1. 甲、乙</w:t>
      </w:r>
      <w:r>
        <w:rPr>
          <w:rFonts w:hint="eastAsia" w:ascii="仿宋_GB2312" w:hAnsi="宋体" w:eastAsia="仿宋_GB2312"/>
          <w:color w:val="000000" w:themeColor="text1"/>
          <w:spacing w:val="0"/>
          <w:sz w:val="24"/>
          <w:highlight w:val="none"/>
          <w14:textFill>
            <w14:solidFill>
              <w14:schemeClr w14:val="tx1"/>
            </w14:solidFill>
          </w14:textFill>
        </w:rPr>
        <w:t>双方就</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本</w:t>
      </w:r>
      <w:r>
        <w:rPr>
          <w:rFonts w:hint="eastAsia" w:ascii="仿宋_GB2312" w:hAnsi="宋体" w:eastAsia="仿宋_GB2312"/>
          <w:color w:val="000000" w:themeColor="text1"/>
          <w:spacing w:val="0"/>
          <w:sz w:val="24"/>
          <w:highlight w:val="none"/>
          <w14:textFill>
            <w14:solidFill>
              <w14:schemeClr w14:val="tx1"/>
            </w14:solidFill>
          </w14:textFill>
        </w:rPr>
        <w:t>合同</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及相关补充协议</w:t>
      </w:r>
      <w:r>
        <w:rPr>
          <w:rFonts w:hint="eastAsia" w:ascii="仿宋_GB2312" w:hAnsi="宋体" w:eastAsia="仿宋_GB2312"/>
          <w:color w:val="000000" w:themeColor="text1"/>
          <w:spacing w:val="0"/>
          <w:sz w:val="24"/>
          <w:highlight w:val="none"/>
          <w14:textFill>
            <w14:solidFill>
              <w14:schemeClr w14:val="tx1"/>
            </w14:solidFill>
          </w14:textFill>
        </w:rPr>
        <w:t>履行的有关事项通知对方时，可采用电话、信函、电子</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邮件</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短信、微信留言</w:t>
      </w:r>
      <w:r>
        <w:rPr>
          <w:rFonts w:hint="eastAsia" w:ascii="仿宋_GB2312" w:hAnsi="宋体" w:eastAsia="仿宋_GB2312"/>
          <w:color w:val="000000" w:themeColor="text1"/>
          <w:spacing w:val="0"/>
          <w:sz w:val="24"/>
          <w:highlight w:val="none"/>
          <w14:textFill>
            <w14:solidFill>
              <w14:schemeClr w14:val="tx1"/>
            </w14:solidFill>
          </w14:textFill>
        </w:rPr>
        <w:t>的方式。</w:t>
      </w:r>
    </w:p>
    <w:p w14:paraId="71173E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19.2. </w:t>
      </w:r>
      <w:r>
        <w:rPr>
          <w:rFonts w:hint="eastAsia" w:ascii="仿宋_GB2312" w:hAnsi="宋体" w:eastAsia="仿宋_GB2312"/>
          <w:color w:val="000000" w:themeColor="text1"/>
          <w:spacing w:val="0"/>
          <w:sz w:val="24"/>
          <w:highlight w:val="none"/>
          <w14:textFill>
            <w14:solidFill>
              <w14:schemeClr w14:val="tx1"/>
            </w14:solidFill>
          </w14:textFill>
        </w:rPr>
        <w:t>采用电子</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邮件</w:t>
      </w:r>
      <w:r>
        <w:rPr>
          <w:rFonts w:hint="eastAsia" w:ascii="仿宋_GB2312" w:hAnsi="宋体" w:eastAsia="仿宋_GB2312"/>
          <w:color w:val="000000" w:themeColor="text1"/>
          <w:spacing w:val="0"/>
          <w:sz w:val="24"/>
          <w:highlight w:val="none"/>
          <w14:textFill>
            <w14:solidFill>
              <w14:schemeClr w14:val="tx1"/>
            </w14:solidFill>
          </w14:textFill>
        </w:rPr>
        <w:t>通知的，通知传送至对方电子邮箱时即为送达。</w:t>
      </w:r>
    </w:p>
    <w:p w14:paraId="7B3195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19.3. </w:t>
      </w:r>
      <w:r>
        <w:rPr>
          <w:rFonts w:hint="eastAsia" w:ascii="仿宋_GB2312" w:hAnsi="宋体" w:eastAsia="仿宋_GB2312"/>
          <w:color w:val="000000" w:themeColor="text1"/>
          <w:spacing w:val="0"/>
          <w:sz w:val="24"/>
          <w:highlight w:val="none"/>
          <w14:textFill>
            <w14:solidFill>
              <w14:schemeClr w14:val="tx1"/>
            </w14:solidFill>
          </w14:textFill>
        </w:rPr>
        <w:t>采用信函通知的，信函寄至本合同所载明的对方住所时，即为送达</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本合同所载明的双方住所为双方寄送函件的有效地址。一方按该住所通过邮递部门寄送函件时，均视为已向对方有效送达。</w:t>
      </w:r>
    </w:p>
    <w:p w14:paraId="0F587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19.4. </w:t>
      </w:r>
      <w:r>
        <w:rPr>
          <w:rFonts w:hint="eastAsia" w:ascii="仿宋_GB2312" w:hAnsi="宋体" w:eastAsia="仿宋_GB2312"/>
          <w:color w:val="000000" w:themeColor="text1"/>
          <w:spacing w:val="0"/>
          <w:sz w:val="24"/>
          <w:highlight w:val="none"/>
          <w14:textFill>
            <w14:solidFill>
              <w14:schemeClr w14:val="tx1"/>
            </w14:solidFill>
          </w14:textFill>
        </w:rPr>
        <w:t>本合同履行过程中</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甲、乙双方</w:t>
      </w:r>
      <w:r>
        <w:rPr>
          <w:rFonts w:hint="eastAsia" w:ascii="仿宋_GB2312" w:hAnsi="宋体" w:eastAsia="仿宋_GB2312"/>
          <w:color w:val="000000" w:themeColor="text1"/>
          <w:spacing w:val="0"/>
          <w:sz w:val="24"/>
          <w:highlight w:val="none"/>
          <w14:textFill>
            <w14:solidFill>
              <w14:schemeClr w14:val="tx1"/>
            </w14:solidFill>
          </w14:textFill>
        </w:rPr>
        <w:t>住所</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、联系邮箱</w:t>
      </w:r>
      <w:r>
        <w:rPr>
          <w:rFonts w:hint="eastAsia" w:ascii="仿宋_GB2312" w:hAnsi="宋体" w:eastAsia="仿宋_GB2312"/>
          <w:color w:val="000000" w:themeColor="text1"/>
          <w:spacing w:val="0"/>
          <w:sz w:val="24"/>
          <w:highlight w:val="none"/>
          <w14:textFill>
            <w14:solidFill>
              <w14:schemeClr w14:val="tx1"/>
            </w14:solidFill>
          </w14:textFill>
        </w:rPr>
        <w:t>发生变更</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时</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14:textFill>
            <w14:solidFill>
              <w14:schemeClr w14:val="tx1"/>
            </w14:solidFill>
          </w14:textFill>
        </w:rPr>
        <w:t>一方未书面通知的，视为住所</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、联系邮箱</w:t>
      </w:r>
      <w:r>
        <w:rPr>
          <w:rFonts w:hint="eastAsia" w:ascii="仿宋_GB2312" w:hAnsi="宋体" w:eastAsia="仿宋_GB2312"/>
          <w:color w:val="000000" w:themeColor="text1"/>
          <w:spacing w:val="0"/>
          <w:sz w:val="24"/>
          <w:highlight w:val="none"/>
          <w14:textFill>
            <w14:solidFill>
              <w14:schemeClr w14:val="tx1"/>
            </w14:solidFill>
          </w14:textFill>
        </w:rPr>
        <w:t>未发生变化，另一方按该住所</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、联系邮箱</w:t>
      </w:r>
      <w:r>
        <w:rPr>
          <w:rFonts w:hint="eastAsia" w:ascii="仿宋_GB2312" w:hAnsi="宋体" w:eastAsia="仿宋_GB2312"/>
          <w:color w:val="000000" w:themeColor="text1"/>
          <w:spacing w:val="0"/>
          <w:sz w:val="24"/>
          <w:highlight w:val="none"/>
          <w14:textFill>
            <w14:solidFill>
              <w14:schemeClr w14:val="tx1"/>
            </w14:solidFill>
          </w14:textFill>
        </w:rPr>
        <w:t>发送信函</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电子邮件</w:t>
      </w:r>
      <w:r>
        <w:rPr>
          <w:rFonts w:hint="eastAsia" w:ascii="仿宋_GB2312" w:hAnsi="宋体" w:eastAsia="仿宋_GB2312"/>
          <w:color w:val="000000" w:themeColor="text1"/>
          <w:spacing w:val="0"/>
          <w:sz w:val="24"/>
          <w:highlight w:val="none"/>
          <w14:textFill>
            <w14:solidFill>
              <w14:schemeClr w14:val="tx1"/>
            </w14:solidFill>
          </w14:textFill>
        </w:rPr>
        <w:t>的，视为有效送达</w:t>
      </w:r>
      <w:r>
        <w:rPr>
          <w:rFonts w:hint="eastAsia" w:ascii="仿宋_GB2312" w:hAnsi="宋体" w:eastAsia="仿宋_GB2312"/>
          <w:color w:val="000000" w:themeColor="text1"/>
          <w:spacing w:val="0"/>
          <w:sz w:val="24"/>
          <w:highlight w:val="none"/>
          <w:lang w:eastAsia="zh-CN"/>
          <w14:textFill>
            <w14:solidFill>
              <w14:schemeClr w14:val="tx1"/>
            </w14:solidFill>
          </w14:textFill>
        </w:rPr>
        <w:t>。</w:t>
      </w:r>
    </w:p>
    <w:p w14:paraId="2869E1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p>
    <w:p w14:paraId="5D76A8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二十</w:t>
      </w:r>
      <w:r>
        <w:rPr>
          <w:rFonts w:hint="eastAsia" w:ascii="黑体" w:hAnsi="黑体" w:eastAsia="黑体"/>
          <w:color w:val="000000" w:themeColor="text1"/>
          <w:spacing w:val="0"/>
          <w:sz w:val="24"/>
          <w:highlight w:val="none"/>
          <w14:textFill>
            <w14:solidFill>
              <w14:schemeClr w14:val="tx1"/>
            </w14:solidFill>
          </w14:textFill>
        </w:rPr>
        <w:t>条 争议解决</w:t>
      </w:r>
    </w:p>
    <w:p w14:paraId="66DACC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20. </w:t>
      </w:r>
      <w:r>
        <w:rPr>
          <w:rFonts w:hint="eastAsia" w:ascii="仿宋_GB2312" w:hAnsi="宋体" w:eastAsia="仿宋_GB2312"/>
          <w:color w:val="000000" w:themeColor="text1"/>
          <w:spacing w:val="0"/>
          <w:sz w:val="24"/>
          <w:highlight w:val="none"/>
          <w14:textFill>
            <w14:solidFill>
              <w14:schemeClr w14:val="tx1"/>
            </w14:solidFill>
          </w14:textFill>
        </w:rPr>
        <w:t>本合同的订立、生效、解释及争议，均适用中华人民共和国法律</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、规章和规范性文件</w:t>
      </w:r>
      <w:r>
        <w:rPr>
          <w:rFonts w:hint="eastAsia" w:ascii="仿宋_GB2312" w:hAnsi="宋体" w:eastAsia="仿宋_GB2312"/>
          <w:color w:val="000000" w:themeColor="text1"/>
          <w:spacing w:val="0"/>
          <w:sz w:val="24"/>
          <w:highlight w:val="none"/>
          <w14:textFill>
            <w14:solidFill>
              <w14:schemeClr w14:val="tx1"/>
            </w14:solidFill>
          </w14:textFill>
        </w:rPr>
        <w:t>。发生争议协商不成时，可向租赁</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资产</w:t>
      </w:r>
      <w:r>
        <w:rPr>
          <w:rFonts w:hint="eastAsia" w:ascii="仿宋_GB2312" w:hAnsi="宋体" w:eastAsia="仿宋_GB2312"/>
          <w:color w:val="000000" w:themeColor="text1"/>
          <w:spacing w:val="0"/>
          <w:sz w:val="24"/>
          <w:highlight w:val="none"/>
          <w14:textFill>
            <w14:solidFill>
              <w14:schemeClr w14:val="tx1"/>
            </w14:solidFill>
          </w14:textFill>
        </w:rPr>
        <w:t>所在地有管辖权的人民法院提起诉讼。</w:t>
      </w:r>
    </w:p>
    <w:p w14:paraId="20D500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b/>
          <w:color w:val="000000" w:themeColor="text1"/>
          <w:spacing w:val="0"/>
          <w:sz w:val="24"/>
          <w:highlight w:val="none"/>
          <w14:textFill>
            <w14:solidFill>
              <w14:schemeClr w14:val="tx1"/>
            </w14:solidFill>
          </w14:textFill>
        </w:rPr>
      </w:pPr>
    </w:p>
    <w:p w14:paraId="0E7AD9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olor w:val="000000" w:themeColor="text1"/>
          <w:spacing w:val="0"/>
          <w:sz w:val="24"/>
          <w:highlight w:val="none"/>
          <w14:textFill>
            <w14:solidFill>
              <w14:schemeClr w14:val="tx1"/>
            </w14:solidFill>
          </w14:textFill>
        </w:rPr>
      </w:pPr>
      <w:r>
        <w:rPr>
          <w:rFonts w:hint="eastAsia" w:ascii="黑体" w:hAnsi="黑体" w:eastAsia="黑体"/>
          <w:color w:val="000000" w:themeColor="text1"/>
          <w:spacing w:val="0"/>
          <w:sz w:val="24"/>
          <w:highlight w:val="none"/>
          <w14:textFill>
            <w14:solidFill>
              <w14:schemeClr w14:val="tx1"/>
            </w14:solidFill>
          </w14:textFill>
        </w:rPr>
        <w:t>第</w:t>
      </w:r>
      <w:r>
        <w:rPr>
          <w:rFonts w:hint="eastAsia" w:ascii="黑体" w:hAnsi="黑体" w:eastAsia="黑体"/>
          <w:color w:val="000000" w:themeColor="text1"/>
          <w:spacing w:val="0"/>
          <w:sz w:val="24"/>
          <w:highlight w:val="none"/>
          <w:lang w:val="en-US" w:eastAsia="zh-CN"/>
          <w14:textFill>
            <w14:solidFill>
              <w14:schemeClr w14:val="tx1"/>
            </w14:solidFill>
          </w14:textFill>
        </w:rPr>
        <w:t>二十一</w:t>
      </w:r>
      <w:r>
        <w:rPr>
          <w:rFonts w:hint="eastAsia" w:ascii="黑体" w:hAnsi="黑体" w:eastAsia="黑体"/>
          <w:color w:val="000000" w:themeColor="text1"/>
          <w:spacing w:val="0"/>
          <w:sz w:val="24"/>
          <w:highlight w:val="none"/>
          <w14:textFill>
            <w14:solidFill>
              <w14:schemeClr w14:val="tx1"/>
            </w14:solidFill>
          </w14:textFill>
        </w:rPr>
        <w:t>条 合同生效</w:t>
      </w:r>
    </w:p>
    <w:p w14:paraId="3343D6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21. </w:t>
      </w:r>
      <w:r>
        <w:rPr>
          <w:rFonts w:hint="eastAsia" w:ascii="仿宋_GB2312" w:hAnsi="宋体" w:eastAsia="仿宋_GB2312"/>
          <w:color w:val="000000" w:themeColor="text1"/>
          <w:spacing w:val="0"/>
          <w:sz w:val="24"/>
          <w:highlight w:val="none"/>
          <w14:textFill>
            <w14:solidFill>
              <w14:schemeClr w14:val="tx1"/>
            </w14:solidFill>
          </w14:textFill>
        </w:rPr>
        <w:t>本合同壹式</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肆</w:t>
      </w:r>
      <w:r>
        <w:rPr>
          <w:rFonts w:hint="eastAsia" w:ascii="仿宋_GB2312" w:hAnsi="宋体" w:eastAsia="仿宋_GB2312"/>
          <w:color w:val="000000" w:themeColor="text1"/>
          <w:spacing w:val="0"/>
          <w:sz w:val="24"/>
          <w:highlight w:val="none"/>
          <w14:textFill>
            <w14:solidFill>
              <w14:schemeClr w14:val="tx1"/>
            </w14:solidFill>
          </w14:textFill>
        </w:rPr>
        <w:t>份，甲方执</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叁</w:t>
      </w:r>
      <w:r>
        <w:rPr>
          <w:rFonts w:hint="eastAsia" w:ascii="仿宋_GB2312" w:hAnsi="宋体" w:eastAsia="仿宋_GB2312"/>
          <w:color w:val="000000" w:themeColor="text1"/>
          <w:spacing w:val="0"/>
          <w:sz w:val="24"/>
          <w:highlight w:val="none"/>
          <w14:textFill>
            <w14:solidFill>
              <w14:schemeClr w14:val="tx1"/>
            </w14:solidFill>
          </w14:textFill>
        </w:rPr>
        <w:t>份，乙方</w:t>
      </w:r>
      <w:r>
        <w:rPr>
          <w:rFonts w:hint="eastAsia" w:ascii="仿宋_GB2312" w:hAnsi="宋体" w:eastAsia="仿宋_GB2312"/>
          <w:color w:val="000000" w:themeColor="text1"/>
          <w:spacing w:val="0"/>
          <w:sz w:val="24"/>
          <w:highlight w:val="none"/>
          <w:u w:val="none"/>
          <w14:textFill>
            <w14:solidFill>
              <w14:schemeClr w14:val="tx1"/>
            </w14:solidFill>
          </w14:textFill>
        </w:rPr>
        <w:t>执</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壹</w:t>
      </w:r>
      <w:r>
        <w:rPr>
          <w:rFonts w:hint="eastAsia" w:ascii="仿宋_GB2312" w:hAnsi="宋体" w:eastAsia="仿宋_GB2312"/>
          <w:color w:val="000000" w:themeColor="text1"/>
          <w:spacing w:val="0"/>
          <w:sz w:val="24"/>
          <w:highlight w:val="none"/>
          <w:u w:val="none"/>
          <w14:textFill>
            <w14:solidFill>
              <w14:schemeClr w14:val="tx1"/>
            </w14:solidFill>
          </w14:textFill>
        </w:rPr>
        <w:t>份</w:t>
      </w:r>
      <w:r>
        <w:rPr>
          <w:rFonts w:hint="eastAsia" w:ascii="仿宋_GB2312" w:hAnsi="宋体" w:eastAsia="仿宋_GB2312"/>
          <w:color w:val="000000" w:themeColor="text1"/>
          <w:spacing w:val="0"/>
          <w:sz w:val="24"/>
          <w:highlight w:val="none"/>
          <w:u w:val="none"/>
          <w:lang w:val="en-US" w:eastAsia="zh-CN"/>
          <w14:textFill>
            <w14:solidFill>
              <w14:schemeClr w14:val="tx1"/>
            </w14:solidFill>
          </w14:textFill>
        </w:rPr>
        <w:t>，具有同等法律效力；</w:t>
      </w:r>
      <w:r>
        <w:rPr>
          <w:rFonts w:hint="eastAsia" w:ascii="仿宋_GB2312" w:hAnsi="宋体" w:eastAsia="仿宋_GB2312"/>
          <w:color w:val="000000" w:themeColor="text1"/>
          <w:spacing w:val="0"/>
          <w:sz w:val="24"/>
          <w:highlight w:val="none"/>
          <w14:textFill>
            <w14:solidFill>
              <w14:schemeClr w14:val="tx1"/>
            </w14:solidFill>
          </w14:textFill>
        </w:rPr>
        <w:t>自双方签字、盖章后生效。</w:t>
      </w:r>
    </w:p>
    <w:p w14:paraId="5A0050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lang w:val="en-US" w:eastAsia="zh-CN"/>
          <w14:textFill>
            <w14:solidFill>
              <w14:schemeClr w14:val="tx1"/>
            </w14:solidFill>
          </w14:textFill>
        </w:rPr>
      </w:pPr>
    </w:p>
    <w:p w14:paraId="10A7EB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pPr>
      <w:r>
        <w:rPr>
          <w:rFonts w:hint="eastAsia" w:ascii="仿宋_GB2312" w:hAnsi="宋体" w:eastAsia="仿宋_GB2312"/>
          <w:color w:val="000000" w:themeColor="text1"/>
          <w:spacing w:val="0"/>
          <w:sz w:val="24"/>
          <w:highlight w:val="none"/>
          <w:lang w:val="en-US" w:eastAsia="zh-CN"/>
          <w14:textFill>
            <w14:solidFill>
              <w14:schemeClr w14:val="tx1"/>
            </w14:solidFill>
          </w14:textFill>
        </w:rPr>
        <w:t>附件：1.</w:t>
      </w: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租赁合同之安全责任协议</w:t>
      </w:r>
    </w:p>
    <w:p w14:paraId="6FDA88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仿宋_GB2312" w:hAnsi="仿宋_GB2312" w:eastAsia="仿宋_GB2312" w:cs="仿宋_GB2312"/>
          <w:b w:val="0"/>
          <w:bCs w:val="0"/>
          <w:i w:val="0"/>
          <w:iCs w:val="0"/>
          <w:caps w:val="0"/>
          <w:color w:val="000000" w:themeColor="text1"/>
          <w:spacing w:val="0"/>
          <w:sz w:val="24"/>
          <w:szCs w:val="24"/>
          <w:highlight w:val="none"/>
          <w:shd w:val="clear" w:fill="auto"/>
          <w:lang w:val="en-US" w:eastAsia="zh-CN"/>
          <w14:textFill>
            <w14:solidFill>
              <w14:schemeClr w14:val="tx1"/>
            </w14:solidFill>
          </w14:textFill>
        </w:rPr>
        <w:t xml:space="preserve">      2.租赁合同之担保协议</w:t>
      </w:r>
    </w:p>
    <w:p w14:paraId="6573E37C">
      <w:pPr>
        <w:pStyle w:val="2"/>
        <w:ind w:left="0" w:leftChars="0" w:firstLine="0" w:firstLineChars="0"/>
        <w:rPr>
          <w:rFonts w:hint="default"/>
          <w:lang w:val="en-US" w:eastAsia="zh-CN"/>
        </w:rPr>
      </w:pPr>
    </w:p>
    <w:p w14:paraId="696068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29C08C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57AAEB55">
      <w:pPr>
        <w:pStyle w:val="2"/>
        <w:rPr>
          <w:rFonts w:hint="eastAsia"/>
        </w:rPr>
      </w:pPr>
    </w:p>
    <w:p w14:paraId="52C9D7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29ECE5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14:textFill>
            <w14:solidFill>
              <w14:schemeClr w14:val="tx1"/>
            </w14:solidFill>
          </w14:textFill>
        </w:rPr>
        <w:t>甲方（签章）：</w:t>
      </w:r>
      <w:r>
        <w:rPr>
          <w:rFonts w:hint="eastAsia" w:ascii="仿宋_GB2312" w:hAnsi="宋体" w:eastAsia="仿宋_GB2312"/>
          <w:color w:val="000000"/>
          <w:spacing w:val="0"/>
          <w:sz w:val="24"/>
          <w:highlight w:val="none"/>
        </w:rPr>
        <w:t xml:space="preserve">                        </w:t>
      </w:r>
      <w:r>
        <w:rPr>
          <w:rFonts w:hint="eastAsia" w:ascii="仿宋_GB2312" w:hAnsi="宋体" w:eastAsia="仿宋_GB2312"/>
          <w:color w:val="000000"/>
          <w:spacing w:val="0"/>
          <w:sz w:val="24"/>
          <w:highlight w:val="none"/>
          <w:lang w:val="en-US" w:eastAsia="zh-CN"/>
        </w:rPr>
        <w:t xml:space="preserve"> </w:t>
      </w:r>
      <w:r>
        <w:rPr>
          <w:rFonts w:hint="eastAsia" w:ascii="仿宋_GB2312" w:hAnsi="宋体" w:eastAsia="仿宋_GB2312"/>
          <w:color w:val="000000" w:themeColor="text1"/>
          <w:spacing w:val="0"/>
          <w:sz w:val="24"/>
          <w:highlight w:val="none"/>
          <w14:textFill>
            <w14:solidFill>
              <w14:schemeClr w14:val="tx1"/>
            </w14:solidFill>
          </w14:textFill>
        </w:rPr>
        <w:t>乙方（签章）：</w:t>
      </w:r>
    </w:p>
    <w:p w14:paraId="17A5F2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627791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69E217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38949C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000000" w:themeColor="text1"/>
          <w:spacing w:val="0"/>
          <w:sz w:val="24"/>
          <w:highlight w:val="none"/>
          <w14:textFill>
            <w14:solidFill>
              <w14:schemeClr w14:val="tx1"/>
            </w14:solidFill>
          </w14:textFill>
        </w:rPr>
      </w:pPr>
      <w:r>
        <w:rPr>
          <w:rFonts w:hint="eastAsia" w:ascii="仿宋_GB2312" w:hAnsi="宋体" w:eastAsia="仿宋_GB2312"/>
          <w:color w:val="000000" w:themeColor="text1"/>
          <w:spacing w:val="0"/>
          <w:sz w:val="24"/>
          <w:highlight w:val="none"/>
          <w14:textFill>
            <w14:solidFill>
              <w14:schemeClr w14:val="tx1"/>
            </w14:solidFill>
          </w14:textFill>
        </w:rPr>
        <w:t xml:space="preserve">法定代表人或委托代理人：             </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法定代表人或委托代理人：</w:t>
      </w:r>
    </w:p>
    <w:p w14:paraId="159416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490EDF8D">
      <w:pPr>
        <w:keepNext w:val="0"/>
        <w:keepLines w:val="0"/>
        <w:pageBreakBefore w:val="0"/>
        <w:widowControl w:val="0"/>
        <w:kinsoku/>
        <w:wordWrap/>
        <w:overflowPunct/>
        <w:topLinePunct w:val="0"/>
        <w:autoSpaceDE/>
        <w:autoSpaceDN/>
        <w:bidi w:val="0"/>
        <w:adjustRightInd/>
        <w:snapToGrid/>
        <w:spacing w:line="440" w:lineRule="exact"/>
        <w:ind w:right="480"/>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5917D65C">
      <w:pPr>
        <w:keepNext w:val="0"/>
        <w:keepLines w:val="0"/>
        <w:pageBreakBefore w:val="0"/>
        <w:widowControl w:val="0"/>
        <w:kinsoku/>
        <w:wordWrap/>
        <w:overflowPunct/>
        <w:topLinePunct w:val="0"/>
        <w:autoSpaceDE/>
        <w:autoSpaceDN/>
        <w:bidi w:val="0"/>
        <w:adjustRightInd/>
        <w:snapToGrid/>
        <w:spacing w:line="440" w:lineRule="exact"/>
        <w:ind w:right="480"/>
        <w:textAlignment w:val="auto"/>
        <w:rPr>
          <w:rFonts w:hint="eastAsia" w:ascii="仿宋_GB2312" w:hAnsi="宋体" w:eastAsia="仿宋_GB2312"/>
          <w:color w:val="000000" w:themeColor="text1"/>
          <w:spacing w:val="0"/>
          <w:sz w:val="24"/>
          <w:highlight w:val="none"/>
          <w14:textFill>
            <w14:solidFill>
              <w14:schemeClr w14:val="tx1"/>
            </w14:solidFill>
          </w14:textFill>
        </w:rPr>
      </w:pPr>
    </w:p>
    <w:p w14:paraId="2DE6935F">
      <w:pPr>
        <w:keepNext w:val="0"/>
        <w:keepLines w:val="0"/>
        <w:pageBreakBefore w:val="0"/>
        <w:widowControl w:val="0"/>
        <w:kinsoku/>
        <w:wordWrap/>
        <w:overflowPunct/>
        <w:topLinePunct w:val="0"/>
        <w:autoSpaceDE/>
        <w:autoSpaceDN/>
        <w:bidi w:val="0"/>
        <w:adjustRightInd/>
        <w:snapToGrid/>
        <w:spacing w:line="440" w:lineRule="exact"/>
        <w:ind w:right="480"/>
        <w:textAlignment w:val="auto"/>
        <w:rPr>
          <w:rFonts w:hint="default" w:ascii="仿宋_GB2312" w:hAnsi="宋体" w:eastAsia="仿宋_GB2312"/>
          <w:color w:val="FF0000"/>
          <w:spacing w:val="0"/>
          <w:sz w:val="24"/>
          <w:highlight w:val="none"/>
          <w:u w:val="single"/>
          <w:lang w:val="en-US" w:eastAsia="zh-CN"/>
        </w:rPr>
      </w:pPr>
      <w:r>
        <w:rPr>
          <w:rFonts w:hint="eastAsia" w:ascii="仿宋_GB2312" w:hAnsi="宋体" w:eastAsia="仿宋_GB2312"/>
          <w:color w:val="000000" w:themeColor="text1"/>
          <w:spacing w:val="0"/>
          <w:sz w:val="24"/>
          <w:highlight w:val="none"/>
          <w14:textFill>
            <w14:solidFill>
              <w14:schemeClr w14:val="tx1"/>
            </w14:solidFill>
          </w14:textFill>
        </w:rPr>
        <w:t>签订日期：</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年</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月</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 xml:space="preserve">日        </w:t>
      </w:r>
      <w:r>
        <w:rPr>
          <w:rFonts w:hint="eastAsia" w:ascii="仿宋_GB2312" w:hAnsi="宋体" w:eastAsia="仿宋_GB2312"/>
          <w:color w:val="000000" w:themeColor="text1"/>
          <w:spacing w:val="0"/>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签订日期：</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年</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月</w:t>
      </w:r>
      <w:r>
        <w:rPr>
          <w:rFonts w:hint="eastAsia" w:ascii="仿宋_GB2312" w:hAnsi="宋体" w:eastAsia="仿宋_GB2312"/>
          <w:color w:val="000000" w:themeColor="text1"/>
          <w:spacing w:val="0"/>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0"/>
          <w:sz w:val="24"/>
          <w:highlight w:val="none"/>
          <w14:textFill>
            <w14:solidFill>
              <w14:schemeClr w14:val="tx1"/>
            </w14:solidFill>
          </w14:textFill>
        </w:rPr>
        <w:t>日</w:t>
      </w:r>
    </w:p>
    <w:sectPr>
      <w:footerReference r:id="rId4" w:type="default"/>
      <w:pgSz w:w="11906" w:h="16838"/>
      <w:pgMar w:top="1984" w:right="1417" w:bottom="1587" w:left="1417" w:header="851" w:footer="136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4463">
    <w:pPr>
      <w:pStyle w:val="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B070">
    <w:pPr>
      <w:pStyle w:val="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4BD1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34BD1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MzNhNWEzZGI1MTIxOWQxNDNmZjNhZjhmYTE1MjMifQ=="/>
    <w:docVar w:name="KSO_WPS_MARK_KEY" w:val="3793f8c1-66ad-46ef-9ec2-eb2d1169bc3a"/>
  </w:docVars>
  <w:rsids>
    <w:rsidRoot w:val="00625434"/>
    <w:rsid w:val="00001155"/>
    <w:rsid w:val="00003BCF"/>
    <w:rsid w:val="00011C05"/>
    <w:rsid w:val="00011F1B"/>
    <w:rsid w:val="00021902"/>
    <w:rsid w:val="00035639"/>
    <w:rsid w:val="000439CD"/>
    <w:rsid w:val="00060369"/>
    <w:rsid w:val="00061084"/>
    <w:rsid w:val="0007126A"/>
    <w:rsid w:val="0007223E"/>
    <w:rsid w:val="0008696C"/>
    <w:rsid w:val="00094B16"/>
    <w:rsid w:val="00096FD8"/>
    <w:rsid w:val="000A047D"/>
    <w:rsid w:val="000A6E39"/>
    <w:rsid w:val="000B282B"/>
    <w:rsid w:val="000B36EE"/>
    <w:rsid w:val="000C48A2"/>
    <w:rsid w:val="00101921"/>
    <w:rsid w:val="00104F2A"/>
    <w:rsid w:val="00110169"/>
    <w:rsid w:val="00110A0F"/>
    <w:rsid w:val="00112952"/>
    <w:rsid w:val="00113E42"/>
    <w:rsid w:val="001255AC"/>
    <w:rsid w:val="00135B05"/>
    <w:rsid w:val="00142426"/>
    <w:rsid w:val="00145FA6"/>
    <w:rsid w:val="00156B43"/>
    <w:rsid w:val="001637D3"/>
    <w:rsid w:val="001725AA"/>
    <w:rsid w:val="00173CD9"/>
    <w:rsid w:val="0019262E"/>
    <w:rsid w:val="00194DBF"/>
    <w:rsid w:val="001A28B7"/>
    <w:rsid w:val="001A7DB5"/>
    <w:rsid w:val="001B564A"/>
    <w:rsid w:val="001B7557"/>
    <w:rsid w:val="001C3EE7"/>
    <w:rsid w:val="001C6514"/>
    <w:rsid w:val="001C6B53"/>
    <w:rsid w:val="001E117B"/>
    <w:rsid w:val="00204332"/>
    <w:rsid w:val="00223FCC"/>
    <w:rsid w:val="0024332D"/>
    <w:rsid w:val="00252DA6"/>
    <w:rsid w:val="00266FFF"/>
    <w:rsid w:val="002715FF"/>
    <w:rsid w:val="002752D3"/>
    <w:rsid w:val="0028225A"/>
    <w:rsid w:val="00284420"/>
    <w:rsid w:val="0029146C"/>
    <w:rsid w:val="00294B9C"/>
    <w:rsid w:val="002D39AE"/>
    <w:rsid w:val="002E2089"/>
    <w:rsid w:val="002E304B"/>
    <w:rsid w:val="002E5B12"/>
    <w:rsid w:val="002F0649"/>
    <w:rsid w:val="00300C32"/>
    <w:rsid w:val="003050D8"/>
    <w:rsid w:val="00321BB3"/>
    <w:rsid w:val="003304CA"/>
    <w:rsid w:val="0034219E"/>
    <w:rsid w:val="0034313C"/>
    <w:rsid w:val="00343F04"/>
    <w:rsid w:val="00346A47"/>
    <w:rsid w:val="00361C1C"/>
    <w:rsid w:val="00361FF3"/>
    <w:rsid w:val="003707AE"/>
    <w:rsid w:val="003716A0"/>
    <w:rsid w:val="003836F0"/>
    <w:rsid w:val="00384336"/>
    <w:rsid w:val="0038594B"/>
    <w:rsid w:val="0039557F"/>
    <w:rsid w:val="003A049B"/>
    <w:rsid w:val="003A3341"/>
    <w:rsid w:val="003C0E37"/>
    <w:rsid w:val="003D01A0"/>
    <w:rsid w:val="003D4118"/>
    <w:rsid w:val="003D621C"/>
    <w:rsid w:val="003E5AE9"/>
    <w:rsid w:val="003E5E92"/>
    <w:rsid w:val="003E62D5"/>
    <w:rsid w:val="0040120A"/>
    <w:rsid w:val="0040626A"/>
    <w:rsid w:val="00415887"/>
    <w:rsid w:val="00416D12"/>
    <w:rsid w:val="004213E3"/>
    <w:rsid w:val="004307F1"/>
    <w:rsid w:val="00431058"/>
    <w:rsid w:val="00433348"/>
    <w:rsid w:val="00435227"/>
    <w:rsid w:val="00454CD4"/>
    <w:rsid w:val="00456A7E"/>
    <w:rsid w:val="0046201B"/>
    <w:rsid w:val="004846D1"/>
    <w:rsid w:val="0049116F"/>
    <w:rsid w:val="004A0981"/>
    <w:rsid w:val="004A0CFB"/>
    <w:rsid w:val="004A56F8"/>
    <w:rsid w:val="004C11BF"/>
    <w:rsid w:val="004C364C"/>
    <w:rsid w:val="004D4CBA"/>
    <w:rsid w:val="004D587A"/>
    <w:rsid w:val="004D596B"/>
    <w:rsid w:val="004E5BDB"/>
    <w:rsid w:val="0050344E"/>
    <w:rsid w:val="0052736D"/>
    <w:rsid w:val="00532699"/>
    <w:rsid w:val="0053714D"/>
    <w:rsid w:val="0054423D"/>
    <w:rsid w:val="0055765F"/>
    <w:rsid w:val="00562F47"/>
    <w:rsid w:val="00567B7B"/>
    <w:rsid w:val="005748B7"/>
    <w:rsid w:val="00585D09"/>
    <w:rsid w:val="00590A6F"/>
    <w:rsid w:val="005E179A"/>
    <w:rsid w:val="005F0133"/>
    <w:rsid w:val="005F35E0"/>
    <w:rsid w:val="005F641F"/>
    <w:rsid w:val="00604D42"/>
    <w:rsid w:val="00621649"/>
    <w:rsid w:val="00625434"/>
    <w:rsid w:val="00627EBA"/>
    <w:rsid w:val="006378ED"/>
    <w:rsid w:val="00663FED"/>
    <w:rsid w:val="006B2CB3"/>
    <w:rsid w:val="006C478A"/>
    <w:rsid w:val="006C5FD8"/>
    <w:rsid w:val="006D38A8"/>
    <w:rsid w:val="006F73AE"/>
    <w:rsid w:val="0070023B"/>
    <w:rsid w:val="007028CD"/>
    <w:rsid w:val="00713732"/>
    <w:rsid w:val="00715F0B"/>
    <w:rsid w:val="00726349"/>
    <w:rsid w:val="00726B99"/>
    <w:rsid w:val="0074259F"/>
    <w:rsid w:val="00763A33"/>
    <w:rsid w:val="00776324"/>
    <w:rsid w:val="00777186"/>
    <w:rsid w:val="007812BE"/>
    <w:rsid w:val="007846FE"/>
    <w:rsid w:val="007940BC"/>
    <w:rsid w:val="00794C06"/>
    <w:rsid w:val="007A46BE"/>
    <w:rsid w:val="007B4D9A"/>
    <w:rsid w:val="007B5B00"/>
    <w:rsid w:val="007C3E9A"/>
    <w:rsid w:val="007C5F22"/>
    <w:rsid w:val="007F5685"/>
    <w:rsid w:val="00803149"/>
    <w:rsid w:val="008133F7"/>
    <w:rsid w:val="008140A6"/>
    <w:rsid w:val="00815037"/>
    <w:rsid w:val="0082607F"/>
    <w:rsid w:val="00832946"/>
    <w:rsid w:val="00835497"/>
    <w:rsid w:val="00844F94"/>
    <w:rsid w:val="008556E6"/>
    <w:rsid w:val="00857F5D"/>
    <w:rsid w:val="0088161A"/>
    <w:rsid w:val="00881731"/>
    <w:rsid w:val="008840D7"/>
    <w:rsid w:val="00892DF2"/>
    <w:rsid w:val="00893E7A"/>
    <w:rsid w:val="008A09A1"/>
    <w:rsid w:val="008A79D5"/>
    <w:rsid w:val="008E2EBA"/>
    <w:rsid w:val="008E32EB"/>
    <w:rsid w:val="008E4DDF"/>
    <w:rsid w:val="008E5C38"/>
    <w:rsid w:val="008F1D09"/>
    <w:rsid w:val="008F4145"/>
    <w:rsid w:val="0091275C"/>
    <w:rsid w:val="00913D48"/>
    <w:rsid w:val="00924BBF"/>
    <w:rsid w:val="00927798"/>
    <w:rsid w:val="009324F5"/>
    <w:rsid w:val="00961B4A"/>
    <w:rsid w:val="00962FC2"/>
    <w:rsid w:val="00972E34"/>
    <w:rsid w:val="009751FA"/>
    <w:rsid w:val="00975D2A"/>
    <w:rsid w:val="009905ED"/>
    <w:rsid w:val="0099459F"/>
    <w:rsid w:val="00995F9D"/>
    <w:rsid w:val="009A0D8A"/>
    <w:rsid w:val="009A526E"/>
    <w:rsid w:val="009B7565"/>
    <w:rsid w:val="009C2B95"/>
    <w:rsid w:val="009C4C84"/>
    <w:rsid w:val="009C6883"/>
    <w:rsid w:val="009D6FE9"/>
    <w:rsid w:val="00A003FC"/>
    <w:rsid w:val="00A243FA"/>
    <w:rsid w:val="00A27BE1"/>
    <w:rsid w:val="00A30522"/>
    <w:rsid w:val="00A36BA9"/>
    <w:rsid w:val="00AB5B58"/>
    <w:rsid w:val="00AC36E2"/>
    <w:rsid w:val="00AC54CA"/>
    <w:rsid w:val="00AD051B"/>
    <w:rsid w:val="00AD33FF"/>
    <w:rsid w:val="00AF0216"/>
    <w:rsid w:val="00AF0D84"/>
    <w:rsid w:val="00B12885"/>
    <w:rsid w:val="00B1458C"/>
    <w:rsid w:val="00B17B91"/>
    <w:rsid w:val="00B40484"/>
    <w:rsid w:val="00B40AE0"/>
    <w:rsid w:val="00B46DF1"/>
    <w:rsid w:val="00B5160F"/>
    <w:rsid w:val="00B52BD2"/>
    <w:rsid w:val="00B923EF"/>
    <w:rsid w:val="00B97D1D"/>
    <w:rsid w:val="00BA5274"/>
    <w:rsid w:val="00BA691E"/>
    <w:rsid w:val="00BB2117"/>
    <w:rsid w:val="00BD40B4"/>
    <w:rsid w:val="00BE0117"/>
    <w:rsid w:val="00BE354C"/>
    <w:rsid w:val="00BE3B42"/>
    <w:rsid w:val="00BE5C67"/>
    <w:rsid w:val="00C070DC"/>
    <w:rsid w:val="00C129CB"/>
    <w:rsid w:val="00C246BF"/>
    <w:rsid w:val="00C37B37"/>
    <w:rsid w:val="00C469F5"/>
    <w:rsid w:val="00C5598C"/>
    <w:rsid w:val="00C6345F"/>
    <w:rsid w:val="00C87B5F"/>
    <w:rsid w:val="00C9331F"/>
    <w:rsid w:val="00CA5580"/>
    <w:rsid w:val="00CB3E9C"/>
    <w:rsid w:val="00CB6B02"/>
    <w:rsid w:val="00CD40E2"/>
    <w:rsid w:val="00CE05CD"/>
    <w:rsid w:val="00CE175E"/>
    <w:rsid w:val="00CE394E"/>
    <w:rsid w:val="00CF4DEF"/>
    <w:rsid w:val="00D04EB8"/>
    <w:rsid w:val="00D21852"/>
    <w:rsid w:val="00D26E55"/>
    <w:rsid w:val="00D359AA"/>
    <w:rsid w:val="00D359C2"/>
    <w:rsid w:val="00D37CC0"/>
    <w:rsid w:val="00D40F91"/>
    <w:rsid w:val="00D42A22"/>
    <w:rsid w:val="00D43AC6"/>
    <w:rsid w:val="00D46A38"/>
    <w:rsid w:val="00D64897"/>
    <w:rsid w:val="00D92F3E"/>
    <w:rsid w:val="00D958E9"/>
    <w:rsid w:val="00D95DCA"/>
    <w:rsid w:val="00DB072D"/>
    <w:rsid w:val="00DB0825"/>
    <w:rsid w:val="00DD4B71"/>
    <w:rsid w:val="00DD703D"/>
    <w:rsid w:val="00DE1B33"/>
    <w:rsid w:val="00E0254A"/>
    <w:rsid w:val="00E04275"/>
    <w:rsid w:val="00E057EA"/>
    <w:rsid w:val="00E0726B"/>
    <w:rsid w:val="00E26D3A"/>
    <w:rsid w:val="00E33ED9"/>
    <w:rsid w:val="00E34B55"/>
    <w:rsid w:val="00E403F1"/>
    <w:rsid w:val="00E51D61"/>
    <w:rsid w:val="00E577DB"/>
    <w:rsid w:val="00E57A08"/>
    <w:rsid w:val="00E6048D"/>
    <w:rsid w:val="00E7541F"/>
    <w:rsid w:val="00E76574"/>
    <w:rsid w:val="00E7695B"/>
    <w:rsid w:val="00E94B59"/>
    <w:rsid w:val="00EA3C92"/>
    <w:rsid w:val="00EB0D33"/>
    <w:rsid w:val="00EB5D28"/>
    <w:rsid w:val="00EC281B"/>
    <w:rsid w:val="00ED0C92"/>
    <w:rsid w:val="00ED13C2"/>
    <w:rsid w:val="00ED491A"/>
    <w:rsid w:val="00ED7097"/>
    <w:rsid w:val="00EE19C8"/>
    <w:rsid w:val="00EE7274"/>
    <w:rsid w:val="00EF3FFC"/>
    <w:rsid w:val="00F04B13"/>
    <w:rsid w:val="00F05649"/>
    <w:rsid w:val="00F15DB7"/>
    <w:rsid w:val="00F20887"/>
    <w:rsid w:val="00F208EB"/>
    <w:rsid w:val="00F3185F"/>
    <w:rsid w:val="00F31EFB"/>
    <w:rsid w:val="00F430F0"/>
    <w:rsid w:val="00F72ACC"/>
    <w:rsid w:val="00F73502"/>
    <w:rsid w:val="00F73B75"/>
    <w:rsid w:val="00F76118"/>
    <w:rsid w:val="00F8027D"/>
    <w:rsid w:val="00F92612"/>
    <w:rsid w:val="00FE1F55"/>
    <w:rsid w:val="00FF4578"/>
    <w:rsid w:val="00FF6BC0"/>
    <w:rsid w:val="01333B8A"/>
    <w:rsid w:val="01417FDC"/>
    <w:rsid w:val="018D0F17"/>
    <w:rsid w:val="01B136D6"/>
    <w:rsid w:val="01C74429"/>
    <w:rsid w:val="01E46D89"/>
    <w:rsid w:val="02337D11"/>
    <w:rsid w:val="023E3646"/>
    <w:rsid w:val="024961C0"/>
    <w:rsid w:val="02527946"/>
    <w:rsid w:val="0279134B"/>
    <w:rsid w:val="02B26E88"/>
    <w:rsid w:val="02BF1A46"/>
    <w:rsid w:val="02E17988"/>
    <w:rsid w:val="03014153"/>
    <w:rsid w:val="031B27CA"/>
    <w:rsid w:val="03233F95"/>
    <w:rsid w:val="032D7759"/>
    <w:rsid w:val="03301EE4"/>
    <w:rsid w:val="03306067"/>
    <w:rsid w:val="03630384"/>
    <w:rsid w:val="03F84D6E"/>
    <w:rsid w:val="04221E58"/>
    <w:rsid w:val="042F68F6"/>
    <w:rsid w:val="04421DDA"/>
    <w:rsid w:val="046441B2"/>
    <w:rsid w:val="04877015"/>
    <w:rsid w:val="04B44A46"/>
    <w:rsid w:val="04EE7F1F"/>
    <w:rsid w:val="04F03991"/>
    <w:rsid w:val="0624009C"/>
    <w:rsid w:val="06336531"/>
    <w:rsid w:val="06710E08"/>
    <w:rsid w:val="06C7703C"/>
    <w:rsid w:val="0724689D"/>
    <w:rsid w:val="07260B89"/>
    <w:rsid w:val="07515B7F"/>
    <w:rsid w:val="077C7F65"/>
    <w:rsid w:val="083640B7"/>
    <w:rsid w:val="085B1D6F"/>
    <w:rsid w:val="089979DE"/>
    <w:rsid w:val="08C276F9"/>
    <w:rsid w:val="08CE1E54"/>
    <w:rsid w:val="092F0012"/>
    <w:rsid w:val="09852623"/>
    <w:rsid w:val="09A209BA"/>
    <w:rsid w:val="0A201042"/>
    <w:rsid w:val="0A5A3FA3"/>
    <w:rsid w:val="0A86317F"/>
    <w:rsid w:val="0A901B21"/>
    <w:rsid w:val="0A914B0F"/>
    <w:rsid w:val="0AB20ABA"/>
    <w:rsid w:val="0AD876A7"/>
    <w:rsid w:val="0BA01C71"/>
    <w:rsid w:val="0BA17ADF"/>
    <w:rsid w:val="0BE61950"/>
    <w:rsid w:val="0C2E22B8"/>
    <w:rsid w:val="0C3B111D"/>
    <w:rsid w:val="0C541F56"/>
    <w:rsid w:val="0C6114FB"/>
    <w:rsid w:val="0C760F26"/>
    <w:rsid w:val="0C881467"/>
    <w:rsid w:val="0CAA0BCF"/>
    <w:rsid w:val="0CCC7C2D"/>
    <w:rsid w:val="0DB56BE5"/>
    <w:rsid w:val="0DCC138D"/>
    <w:rsid w:val="0E086262"/>
    <w:rsid w:val="0E095E94"/>
    <w:rsid w:val="0E0E3CEF"/>
    <w:rsid w:val="0E250731"/>
    <w:rsid w:val="0E337378"/>
    <w:rsid w:val="0E6B0E75"/>
    <w:rsid w:val="0ED66388"/>
    <w:rsid w:val="0F032819"/>
    <w:rsid w:val="0F07055B"/>
    <w:rsid w:val="0F1E5980"/>
    <w:rsid w:val="0F8B70CF"/>
    <w:rsid w:val="0FAF4430"/>
    <w:rsid w:val="10B26853"/>
    <w:rsid w:val="10C7659F"/>
    <w:rsid w:val="10F45741"/>
    <w:rsid w:val="1109680C"/>
    <w:rsid w:val="119504F8"/>
    <w:rsid w:val="11C70687"/>
    <w:rsid w:val="11F70371"/>
    <w:rsid w:val="124E52EB"/>
    <w:rsid w:val="128B14A3"/>
    <w:rsid w:val="129E11D6"/>
    <w:rsid w:val="129F0AAB"/>
    <w:rsid w:val="129F7202"/>
    <w:rsid w:val="12DD3017"/>
    <w:rsid w:val="13533D6F"/>
    <w:rsid w:val="136F5F9E"/>
    <w:rsid w:val="13936861"/>
    <w:rsid w:val="139D0B46"/>
    <w:rsid w:val="13BE053C"/>
    <w:rsid w:val="14C76D4F"/>
    <w:rsid w:val="14CD7670"/>
    <w:rsid w:val="14D710C0"/>
    <w:rsid w:val="14E93A4C"/>
    <w:rsid w:val="15554D6B"/>
    <w:rsid w:val="15794C2C"/>
    <w:rsid w:val="15913C53"/>
    <w:rsid w:val="15A53226"/>
    <w:rsid w:val="15CC22D2"/>
    <w:rsid w:val="1617248A"/>
    <w:rsid w:val="16483E4D"/>
    <w:rsid w:val="1694193C"/>
    <w:rsid w:val="17066C93"/>
    <w:rsid w:val="1707435F"/>
    <w:rsid w:val="17385080"/>
    <w:rsid w:val="17991F6C"/>
    <w:rsid w:val="17B53B1B"/>
    <w:rsid w:val="18945D3E"/>
    <w:rsid w:val="18D019BE"/>
    <w:rsid w:val="18D07C10"/>
    <w:rsid w:val="19080323"/>
    <w:rsid w:val="19121A44"/>
    <w:rsid w:val="19321F8E"/>
    <w:rsid w:val="199348D0"/>
    <w:rsid w:val="19DA48CE"/>
    <w:rsid w:val="1A1F6AA4"/>
    <w:rsid w:val="1A2E2E40"/>
    <w:rsid w:val="1A5E7323"/>
    <w:rsid w:val="1AA27F5E"/>
    <w:rsid w:val="1AFC310B"/>
    <w:rsid w:val="1B01692C"/>
    <w:rsid w:val="1BC7354C"/>
    <w:rsid w:val="1C092910"/>
    <w:rsid w:val="1C257289"/>
    <w:rsid w:val="1C9A2A0F"/>
    <w:rsid w:val="1D596426"/>
    <w:rsid w:val="1DB42B53"/>
    <w:rsid w:val="1DBD3BB8"/>
    <w:rsid w:val="1DC5122C"/>
    <w:rsid w:val="1E0671BD"/>
    <w:rsid w:val="1EA26D96"/>
    <w:rsid w:val="1EBB37B8"/>
    <w:rsid w:val="1F2B1842"/>
    <w:rsid w:val="1F3031B6"/>
    <w:rsid w:val="1F6115C5"/>
    <w:rsid w:val="1F686DF4"/>
    <w:rsid w:val="1F7C3B44"/>
    <w:rsid w:val="1F8F14DE"/>
    <w:rsid w:val="1FA72195"/>
    <w:rsid w:val="1FC77CF8"/>
    <w:rsid w:val="1FDE05CD"/>
    <w:rsid w:val="20073EA6"/>
    <w:rsid w:val="200C3C23"/>
    <w:rsid w:val="20915ED7"/>
    <w:rsid w:val="20F62BF6"/>
    <w:rsid w:val="21D249F9"/>
    <w:rsid w:val="21EA1D42"/>
    <w:rsid w:val="226C12D2"/>
    <w:rsid w:val="22943A5C"/>
    <w:rsid w:val="22A55C69"/>
    <w:rsid w:val="23243032"/>
    <w:rsid w:val="234C6EB2"/>
    <w:rsid w:val="236C49D9"/>
    <w:rsid w:val="237A0B45"/>
    <w:rsid w:val="23A6613D"/>
    <w:rsid w:val="23A93537"/>
    <w:rsid w:val="23C70154"/>
    <w:rsid w:val="247B483B"/>
    <w:rsid w:val="24E00E80"/>
    <w:rsid w:val="24F133E8"/>
    <w:rsid w:val="25A760B8"/>
    <w:rsid w:val="2604714B"/>
    <w:rsid w:val="260D4251"/>
    <w:rsid w:val="262D366B"/>
    <w:rsid w:val="26583BD1"/>
    <w:rsid w:val="266D2F42"/>
    <w:rsid w:val="269278A0"/>
    <w:rsid w:val="26A1499A"/>
    <w:rsid w:val="26CA2142"/>
    <w:rsid w:val="2729330D"/>
    <w:rsid w:val="274912B9"/>
    <w:rsid w:val="276E2ACE"/>
    <w:rsid w:val="276E74F2"/>
    <w:rsid w:val="27716A62"/>
    <w:rsid w:val="277265E1"/>
    <w:rsid w:val="27B54334"/>
    <w:rsid w:val="27DD6B79"/>
    <w:rsid w:val="27F46D85"/>
    <w:rsid w:val="283F26BC"/>
    <w:rsid w:val="286A1147"/>
    <w:rsid w:val="28904795"/>
    <w:rsid w:val="290E7B25"/>
    <w:rsid w:val="296F1A8D"/>
    <w:rsid w:val="29A14DEB"/>
    <w:rsid w:val="29C51831"/>
    <w:rsid w:val="29C66127"/>
    <w:rsid w:val="2A4F5F6A"/>
    <w:rsid w:val="2A693A8B"/>
    <w:rsid w:val="2ADB3DDF"/>
    <w:rsid w:val="2B005780"/>
    <w:rsid w:val="2B3C2072"/>
    <w:rsid w:val="2C91135E"/>
    <w:rsid w:val="2CCA7779"/>
    <w:rsid w:val="2CCB6B0E"/>
    <w:rsid w:val="2D101C80"/>
    <w:rsid w:val="2E146716"/>
    <w:rsid w:val="2E183D6D"/>
    <w:rsid w:val="2EE265FC"/>
    <w:rsid w:val="2EEA5469"/>
    <w:rsid w:val="2F3A1D6D"/>
    <w:rsid w:val="2F59153A"/>
    <w:rsid w:val="2F63651A"/>
    <w:rsid w:val="2FD84C45"/>
    <w:rsid w:val="2FFD0E93"/>
    <w:rsid w:val="305D6C11"/>
    <w:rsid w:val="306E6C84"/>
    <w:rsid w:val="30FD3114"/>
    <w:rsid w:val="314F5689"/>
    <w:rsid w:val="31594548"/>
    <w:rsid w:val="31986F3A"/>
    <w:rsid w:val="323D6E6B"/>
    <w:rsid w:val="333B43A1"/>
    <w:rsid w:val="33873783"/>
    <w:rsid w:val="338A2C65"/>
    <w:rsid w:val="33AB50A9"/>
    <w:rsid w:val="33F627C9"/>
    <w:rsid w:val="343C56C0"/>
    <w:rsid w:val="344636F4"/>
    <w:rsid w:val="34727ED4"/>
    <w:rsid w:val="349A0291"/>
    <w:rsid w:val="34B075ED"/>
    <w:rsid w:val="352A7A2F"/>
    <w:rsid w:val="35340AD3"/>
    <w:rsid w:val="3538101C"/>
    <w:rsid w:val="35725E7F"/>
    <w:rsid w:val="35AD1560"/>
    <w:rsid w:val="35AF320A"/>
    <w:rsid w:val="35BE2E72"/>
    <w:rsid w:val="35C80358"/>
    <w:rsid w:val="364D41F6"/>
    <w:rsid w:val="36592B9B"/>
    <w:rsid w:val="3695254B"/>
    <w:rsid w:val="37333505"/>
    <w:rsid w:val="384F2DD7"/>
    <w:rsid w:val="394F2D2E"/>
    <w:rsid w:val="39697599"/>
    <w:rsid w:val="39BA1E95"/>
    <w:rsid w:val="3A3F62E3"/>
    <w:rsid w:val="3B307E3E"/>
    <w:rsid w:val="3B3779FE"/>
    <w:rsid w:val="3BC44F5A"/>
    <w:rsid w:val="3C3E7422"/>
    <w:rsid w:val="3C585FF5"/>
    <w:rsid w:val="3C7F724A"/>
    <w:rsid w:val="3CDC7FCF"/>
    <w:rsid w:val="3CF63CFE"/>
    <w:rsid w:val="3D1C5C18"/>
    <w:rsid w:val="3D430983"/>
    <w:rsid w:val="3DA86F6D"/>
    <w:rsid w:val="3DF90B64"/>
    <w:rsid w:val="3E153428"/>
    <w:rsid w:val="3E6622F9"/>
    <w:rsid w:val="3EBA672A"/>
    <w:rsid w:val="3F3348D1"/>
    <w:rsid w:val="3F7504F8"/>
    <w:rsid w:val="3F762A0F"/>
    <w:rsid w:val="3FF34581"/>
    <w:rsid w:val="40234946"/>
    <w:rsid w:val="40324012"/>
    <w:rsid w:val="404623E2"/>
    <w:rsid w:val="40895FE4"/>
    <w:rsid w:val="40A52824"/>
    <w:rsid w:val="40EF2A79"/>
    <w:rsid w:val="411F02FE"/>
    <w:rsid w:val="41306BEE"/>
    <w:rsid w:val="41725113"/>
    <w:rsid w:val="41764F49"/>
    <w:rsid w:val="42071191"/>
    <w:rsid w:val="421E33FE"/>
    <w:rsid w:val="42397DA6"/>
    <w:rsid w:val="42A67E4F"/>
    <w:rsid w:val="42B775C7"/>
    <w:rsid w:val="438A0837"/>
    <w:rsid w:val="44007EA5"/>
    <w:rsid w:val="44243658"/>
    <w:rsid w:val="44C85ABB"/>
    <w:rsid w:val="44D56230"/>
    <w:rsid w:val="452A4CCE"/>
    <w:rsid w:val="453579B5"/>
    <w:rsid w:val="456707EC"/>
    <w:rsid w:val="45954C55"/>
    <w:rsid w:val="45DE130F"/>
    <w:rsid w:val="465247E4"/>
    <w:rsid w:val="469E6445"/>
    <w:rsid w:val="470B6133"/>
    <w:rsid w:val="47374E93"/>
    <w:rsid w:val="473A69CD"/>
    <w:rsid w:val="47C004A0"/>
    <w:rsid w:val="47D85B1B"/>
    <w:rsid w:val="480F3A01"/>
    <w:rsid w:val="48A07F37"/>
    <w:rsid w:val="48BA7C0A"/>
    <w:rsid w:val="48C227A5"/>
    <w:rsid w:val="48D2689D"/>
    <w:rsid w:val="49100CA5"/>
    <w:rsid w:val="49416BFC"/>
    <w:rsid w:val="494F4748"/>
    <w:rsid w:val="4971589D"/>
    <w:rsid w:val="49A20844"/>
    <w:rsid w:val="49BD306D"/>
    <w:rsid w:val="49C25285"/>
    <w:rsid w:val="49DE368B"/>
    <w:rsid w:val="4A704E76"/>
    <w:rsid w:val="4A8039C7"/>
    <w:rsid w:val="4AA20B5D"/>
    <w:rsid w:val="4B1061C2"/>
    <w:rsid w:val="4B366F25"/>
    <w:rsid w:val="4B463760"/>
    <w:rsid w:val="4B55797D"/>
    <w:rsid w:val="4B66152C"/>
    <w:rsid w:val="4BB93353"/>
    <w:rsid w:val="4C3A0A79"/>
    <w:rsid w:val="4C6D2B77"/>
    <w:rsid w:val="4C854292"/>
    <w:rsid w:val="4C9B35C8"/>
    <w:rsid w:val="4CC231B2"/>
    <w:rsid w:val="4CE93C6F"/>
    <w:rsid w:val="4D6D5452"/>
    <w:rsid w:val="4E121E51"/>
    <w:rsid w:val="4E2F0959"/>
    <w:rsid w:val="4E347D1E"/>
    <w:rsid w:val="4E857BB1"/>
    <w:rsid w:val="4EC70B92"/>
    <w:rsid w:val="4ED2574B"/>
    <w:rsid w:val="4EE40795"/>
    <w:rsid w:val="4EEF10EA"/>
    <w:rsid w:val="4F626B0C"/>
    <w:rsid w:val="4F93317D"/>
    <w:rsid w:val="4F9C201E"/>
    <w:rsid w:val="4FA62E9D"/>
    <w:rsid w:val="4FC9030E"/>
    <w:rsid w:val="501616DA"/>
    <w:rsid w:val="5017288F"/>
    <w:rsid w:val="5064435A"/>
    <w:rsid w:val="51330760"/>
    <w:rsid w:val="517E06C7"/>
    <w:rsid w:val="519915B2"/>
    <w:rsid w:val="51A8244C"/>
    <w:rsid w:val="51E27A91"/>
    <w:rsid w:val="51EE6C85"/>
    <w:rsid w:val="52171E30"/>
    <w:rsid w:val="529D22A8"/>
    <w:rsid w:val="52E15F9A"/>
    <w:rsid w:val="52FF45DE"/>
    <w:rsid w:val="536201FA"/>
    <w:rsid w:val="53642E53"/>
    <w:rsid w:val="53D94F8D"/>
    <w:rsid w:val="53E70726"/>
    <w:rsid w:val="54490669"/>
    <w:rsid w:val="54775E3D"/>
    <w:rsid w:val="54A343F4"/>
    <w:rsid w:val="54ED460D"/>
    <w:rsid w:val="550C1C87"/>
    <w:rsid w:val="55AB69D6"/>
    <w:rsid w:val="5665788A"/>
    <w:rsid w:val="56AB6064"/>
    <w:rsid w:val="571F0226"/>
    <w:rsid w:val="57346FE0"/>
    <w:rsid w:val="57B123DF"/>
    <w:rsid w:val="57FC1389"/>
    <w:rsid w:val="582B3D96"/>
    <w:rsid w:val="58327A02"/>
    <w:rsid w:val="583A0626"/>
    <w:rsid w:val="58617E28"/>
    <w:rsid w:val="586C3D5D"/>
    <w:rsid w:val="58C223CA"/>
    <w:rsid w:val="58F844DE"/>
    <w:rsid w:val="59217B49"/>
    <w:rsid w:val="59564BE8"/>
    <w:rsid w:val="59747B68"/>
    <w:rsid w:val="597B0EF6"/>
    <w:rsid w:val="59B535AE"/>
    <w:rsid w:val="5A2279A0"/>
    <w:rsid w:val="5A78716F"/>
    <w:rsid w:val="5A826DB7"/>
    <w:rsid w:val="5AA5252E"/>
    <w:rsid w:val="5ABD553F"/>
    <w:rsid w:val="5B863B83"/>
    <w:rsid w:val="5BD62359"/>
    <w:rsid w:val="5C6402BE"/>
    <w:rsid w:val="5C792D3D"/>
    <w:rsid w:val="5C813C31"/>
    <w:rsid w:val="5C9C7527"/>
    <w:rsid w:val="5CBF734C"/>
    <w:rsid w:val="5CE022DB"/>
    <w:rsid w:val="5CF13297"/>
    <w:rsid w:val="5D192F00"/>
    <w:rsid w:val="5D1F69D4"/>
    <w:rsid w:val="5D3810CF"/>
    <w:rsid w:val="5D86767D"/>
    <w:rsid w:val="5D8F082D"/>
    <w:rsid w:val="5DC664B8"/>
    <w:rsid w:val="5F407DE3"/>
    <w:rsid w:val="5F497D13"/>
    <w:rsid w:val="5F61293D"/>
    <w:rsid w:val="5F7D704B"/>
    <w:rsid w:val="5F9969B0"/>
    <w:rsid w:val="5FE51F36"/>
    <w:rsid w:val="6005776C"/>
    <w:rsid w:val="600F4EEF"/>
    <w:rsid w:val="60482704"/>
    <w:rsid w:val="6099563F"/>
    <w:rsid w:val="60B745D9"/>
    <w:rsid w:val="60E81259"/>
    <w:rsid w:val="611B0CA3"/>
    <w:rsid w:val="61637835"/>
    <w:rsid w:val="61F61D51"/>
    <w:rsid w:val="62441245"/>
    <w:rsid w:val="62EB6E3A"/>
    <w:rsid w:val="63001DEA"/>
    <w:rsid w:val="631C5B65"/>
    <w:rsid w:val="635E2EEF"/>
    <w:rsid w:val="6372336F"/>
    <w:rsid w:val="63794272"/>
    <w:rsid w:val="63B611F2"/>
    <w:rsid w:val="63B72959"/>
    <w:rsid w:val="63DE27AE"/>
    <w:rsid w:val="64184FCE"/>
    <w:rsid w:val="64B81251"/>
    <w:rsid w:val="64C42002"/>
    <w:rsid w:val="64D715F4"/>
    <w:rsid w:val="64F34037"/>
    <w:rsid w:val="65A25A5D"/>
    <w:rsid w:val="660F6502"/>
    <w:rsid w:val="66A96EF4"/>
    <w:rsid w:val="66C479C4"/>
    <w:rsid w:val="66C722EF"/>
    <w:rsid w:val="66F26570"/>
    <w:rsid w:val="67090B1A"/>
    <w:rsid w:val="671D2ACD"/>
    <w:rsid w:val="676A497C"/>
    <w:rsid w:val="677D408C"/>
    <w:rsid w:val="683C249B"/>
    <w:rsid w:val="68996CA3"/>
    <w:rsid w:val="68F24914"/>
    <w:rsid w:val="68F27CFE"/>
    <w:rsid w:val="68FB170C"/>
    <w:rsid w:val="69D341C2"/>
    <w:rsid w:val="69EE348C"/>
    <w:rsid w:val="6A0E50AF"/>
    <w:rsid w:val="6A2444B1"/>
    <w:rsid w:val="6A421AC5"/>
    <w:rsid w:val="6B107DDB"/>
    <w:rsid w:val="6BB1678F"/>
    <w:rsid w:val="6BC531BE"/>
    <w:rsid w:val="6BCD5A2E"/>
    <w:rsid w:val="6BE45233"/>
    <w:rsid w:val="6BE566A3"/>
    <w:rsid w:val="6C0830E2"/>
    <w:rsid w:val="6C7254CF"/>
    <w:rsid w:val="6CF941B4"/>
    <w:rsid w:val="6D10720A"/>
    <w:rsid w:val="6D7C5CD2"/>
    <w:rsid w:val="6DC94308"/>
    <w:rsid w:val="6EF94929"/>
    <w:rsid w:val="6F0B2A24"/>
    <w:rsid w:val="6F727364"/>
    <w:rsid w:val="6F796271"/>
    <w:rsid w:val="6F8F19E3"/>
    <w:rsid w:val="6FC60838"/>
    <w:rsid w:val="701F46F7"/>
    <w:rsid w:val="70852D60"/>
    <w:rsid w:val="70C573B0"/>
    <w:rsid w:val="71633EFC"/>
    <w:rsid w:val="71892224"/>
    <w:rsid w:val="71C34D91"/>
    <w:rsid w:val="71DC6AE8"/>
    <w:rsid w:val="7212332F"/>
    <w:rsid w:val="723A592B"/>
    <w:rsid w:val="727C58EF"/>
    <w:rsid w:val="73737AD4"/>
    <w:rsid w:val="742A7349"/>
    <w:rsid w:val="748500ED"/>
    <w:rsid w:val="74AE6DBF"/>
    <w:rsid w:val="7513602F"/>
    <w:rsid w:val="7528068E"/>
    <w:rsid w:val="7538135D"/>
    <w:rsid w:val="756643B1"/>
    <w:rsid w:val="757C3BD5"/>
    <w:rsid w:val="76016670"/>
    <w:rsid w:val="76457088"/>
    <w:rsid w:val="767D0956"/>
    <w:rsid w:val="76B40B2C"/>
    <w:rsid w:val="76B47603"/>
    <w:rsid w:val="76B82BD3"/>
    <w:rsid w:val="76C957C7"/>
    <w:rsid w:val="770E7A76"/>
    <w:rsid w:val="77335489"/>
    <w:rsid w:val="77707769"/>
    <w:rsid w:val="77A9613C"/>
    <w:rsid w:val="77CC4747"/>
    <w:rsid w:val="77D357EF"/>
    <w:rsid w:val="77D41B9E"/>
    <w:rsid w:val="787D2496"/>
    <w:rsid w:val="788F6763"/>
    <w:rsid w:val="78B03576"/>
    <w:rsid w:val="78E20123"/>
    <w:rsid w:val="797524E4"/>
    <w:rsid w:val="797A7744"/>
    <w:rsid w:val="7984295B"/>
    <w:rsid w:val="79892D64"/>
    <w:rsid w:val="798F5890"/>
    <w:rsid w:val="79B7042B"/>
    <w:rsid w:val="79B7759D"/>
    <w:rsid w:val="79B83450"/>
    <w:rsid w:val="79D46567"/>
    <w:rsid w:val="7A0D612F"/>
    <w:rsid w:val="7A556BC2"/>
    <w:rsid w:val="7AAE701A"/>
    <w:rsid w:val="7B194887"/>
    <w:rsid w:val="7BAD21AF"/>
    <w:rsid w:val="7BB2238C"/>
    <w:rsid w:val="7BE36492"/>
    <w:rsid w:val="7C0D28BE"/>
    <w:rsid w:val="7CB054D4"/>
    <w:rsid w:val="7CEC5581"/>
    <w:rsid w:val="7CF15589"/>
    <w:rsid w:val="7D12056B"/>
    <w:rsid w:val="7D787D79"/>
    <w:rsid w:val="7D9A72EE"/>
    <w:rsid w:val="7DC47CA3"/>
    <w:rsid w:val="7DDB74AD"/>
    <w:rsid w:val="7DEA0414"/>
    <w:rsid w:val="7DFF35F5"/>
    <w:rsid w:val="7E1075B0"/>
    <w:rsid w:val="7E32244E"/>
    <w:rsid w:val="7E386B07"/>
    <w:rsid w:val="7E42291F"/>
    <w:rsid w:val="7EB46E00"/>
    <w:rsid w:val="7EB72EE7"/>
    <w:rsid w:val="7F0133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2"/>
    <w:qFormat/>
    <w:uiPriority w:val="0"/>
    <w:pPr>
      <w:spacing w:after="120"/>
      <w:ind w:left="420" w:leftChars="20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Plain Text"/>
    <w:basedOn w:val="1"/>
    <w:qFormat/>
    <w:uiPriority w:val="0"/>
    <w:pPr>
      <w:widowControl w:val="0"/>
      <w:jc w:val="both"/>
    </w:pPr>
    <w:rPr>
      <w:rFonts w:ascii="宋体" w:eastAsia="宋体" w:cs="宋体"/>
      <w:sz w:val="21"/>
      <w:szCs w:val="21"/>
      <w:lang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Times New Roman" w:hAnsi="Times New Roman" w:eastAsia="宋体" w:cs="Times New Roman"/>
      <w:snapToGrid/>
      <w:color w:val="auto"/>
      <w:spacing w:val="0"/>
      <w:w w:val="100"/>
      <w:kern w:val="0"/>
      <w:position w:val="0"/>
      <w:sz w:val="24"/>
      <w:szCs w:val="24"/>
      <w:u w:val="none" w:color="auto"/>
      <w:vertAlign w:val="baseline"/>
      <w:lang w:val="en-US" w:eastAsia="zh-CN"/>
    </w:rPr>
  </w:style>
  <w:style w:type="paragraph" w:styleId="10">
    <w:name w:val="Subtitle"/>
    <w:basedOn w:val="1"/>
    <w:next w:val="1"/>
    <w:link w:val="17"/>
    <w:qFormat/>
    <w:uiPriority w:val="0"/>
    <w:pPr>
      <w:spacing w:before="240" w:after="60" w:line="312" w:lineRule="auto"/>
      <w:jc w:val="center"/>
      <w:outlineLvl w:val="1"/>
    </w:pPr>
    <w:rPr>
      <w:rFonts w:ascii="Calibri Light" w:hAnsi="Calibri Light"/>
      <w:b/>
      <w:bCs/>
      <w:kern w:val="28"/>
      <w:sz w:val="32"/>
      <w:szCs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character" w:customStyle="1" w:styleId="16">
    <w:name w:val="页脚 字符"/>
    <w:link w:val="7"/>
    <w:qFormat/>
    <w:locked/>
    <w:uiPriority w:val="0"/>
    <w:rPr>
      <w:rFonts w:eastAsia="宋体"/>
      <w:kern w:val="2"/>
      <w:sz w:val="18"/>
      <w:szCs w:val="18"/>
      <w:lang w:val="en-US" w:eastAsia="zh-CN" w:bidi="ar-SA"/>
    </w:rPr>
  </w:style>
  <w:style w:type="character" w:customStyle="1" w:styleId="17">
    <w:name w:val="副标题 字符1"/>
    <w:link w:val="10"/>
    <w:qFormat/>
    <w:uiPriority w:val="0"/>
    <w:rPr>
      <w:rFonts w:ascii="Calibri Light" w:hAnsi="Calibri Light"/>
      <w:b/>
      <w:bCs/>
      <w:kern w:val="28"/>
      <w:sz w:val="32"/>
      <w:szCs w:val="32"/>
    </w:rPr>
  </w:style>
  <w:style w:type="character" w:customStyle="1" w:styleId="18">
    <w:name w:val="副标题 字符"/>
    <w:qFormat/>
    <w:uiPriority w:val="0"/>
    <w:rPr>
      <w:rFonts w:ascii="等线 Light" w:hAnsi="等线 Light" w:cs="Times New Roman"/>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13</Pages>
  <Words>5702</Words>
  <Characters>6295</Characters>
  <Lines>32</Lines>
  <Paragraphs>9</Paragraphs>
  <TotalTime>2</TotalTime>
  <ScaleCrop>false</ScaleCrop>
  <LinksUpToDate>false</LinksUpToDate>
  <CharactersWithSpaces>7299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2017-11-28T08:08:00Z</dcterms:created>
  <dc:creator>Administrator</dc:creator>
  <cp:lastModifiedBy>再见</cp:lastModifiedBy>
  <cp:lastPrinted>2025-11-10T03:24:00Z</cp:lastPrinted>
  <dcterms:modified xsi:type="dcterms:W3CDTF">2025-12-02T03:15:19Z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DED00B8C23034A4BBEFBBF06F2825BAE_13</vt:lpwstr>
  </property>
  <property fmtid="{D5CDD505-2E9C-101B-9397-08002B2CF9AE}" pid="4" name="KSOTemplateDocerSaveRecord">
    <vt:lpwstr>eyJoZGlkIjoiYjcyNDE3YzkyNzVhMDg1N2QwNmM4NmFmZWIyNmM0YTgiLCJ1c2VySWQiOiIzMjAyMzI2MDMifQ==</vt:lpwstr>
  </property>
</Properties>
</file>